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22703"/>
      <w:bookmarkStart w:id="5" w:name="_Toc15377425"/>
      <w:bookmarkStart w:id="6"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Start w:id="7" w:name="_Toc15378442"/>
      <w:bookmarkStart w:id="8" w:name="_Toc15377426"/>
      <w:bookmarkStart w:id="9" w:name="_Toc15396476"/>
      <w:bookmarkStart w:id="10" w:name="_Toc15377194"/>
      <w:bookmarkStart w:id="11" w:name="_Toc15396598"/>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2" w:name="_Toc13735"/>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地质矿产勘查开发局区域地质调查队</w:t>
      </w:r>
      <w:bookmarkEnd w:id="12"/>
    </w:p>
    <w:p>
      <w:pPr>
        <w:adjustRightInd w:val="0"/>
        <w:snapToGrid w:val="0"/>
        <w:spacing w:line="360" w:lineRule="auto"/>
        <w:ind w:left="-630" w:leftChars="-300"/>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 xml:space="preserve">         </w:t>
      </w:r>
      <w:bookmarkStart w:id="14" w:name="_Toc2404"/>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3"/>
      <w:bookmarkEnd w:id="14"/>
    </w:p>
    <w:p>
      <w:pPr>
        <w:widowControl/>
        <w:tabs>
          <w:tab w:val="left" w:pos="7655"/>
          <w:tab w:val="left" w:pos="7938"/>
        </w:tabs>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sdt>
      <w:sdtPr>
        <w:rPr>
          <w:rFonts w:hint="eastAsia" w:ascii="黑体" w:hAnsi="黑体" w:eastAsia="黑体" w:cs="黑体"/>
          <w:kern w:val="2"/>
          <w:sz w:val="44"/>
          <w:szCs w:val="44"/>
          <w:lang w:val="en-US" w:eastAsia="zh-CN" w:bidi="ar-SA"/>
        </w:rPr>
        <w:id w:val="147461994"/>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15" w:name="_Toc15396599"/>
          <w:bookmarkStart w:id="16" w:name="_Toc15377196"/>
          <w:r>
            <w:rPr>
              <w:rFonts w:hint="eastAsia" w:ascii="黑体" w:hAnsi="黑体" w:eastAsia="黑体" w:cs="黑体"/>
              <w:sz w:val="44"/>
              <w:szCs w:val="44"/>
            </w:rPr>
            <w:t>目录</w:t>
          </w:r>
        </w:p>
        <w:p>
          <w:pPr>
            <w:pStyle w:val="10"/>
            <w:tabs>
              <w:tab w:val="left" w:pos="7938"/>
            </w:tabs>
            <w:rPr>
              <w:rFonts w:hint="eastAsia"/>
            </w:rPr>
          </w:pPr>
          <w:r>
            <w:rPr>
              <w:rFonts w:hint="eastAsia"/>
            </w:rPr>
            <w:t>公开时间：2022年9月9日</w:t>
          </w:r>
        </w:p>
        <w:p>
          <w:pPr>
            <w:pStyle w:val="30"/>
            <w:tabs>
              <w:tab w:val="right" w:leader="dot" w:pos="8306"/>
            </w:tabs>
            <w:rPr>
              <w:b/>
            </w:rPr>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p>
        <w:p>
          <w:pPr>
            <w:pStyle w:val="30"/>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_Toc20142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第一部分 单位</w:t>
          </w:r>
          <w:r>
            <w:rPr>
              <w:rFonts w:hint="eastAsia" w:asciiTheme="minorEastAsia" w:hAnsiTheme="minorEastAsia" w:eastAsiaTheme="minorEastAsia" w:cstheme="minorEastAsia"/>
              <w:b/>
              <w:bCs w:val="0"/>
              <w:sz w:val="24"/>
              <w:szCs w:val="24"/>
            </w:rPr>
            <w:t>概况</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_Toc20142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_Toc31743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一、职能简介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_Toc31743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二、2021年重点工作完成情况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三、机构设置情况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_Toc29469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第二部分 2021年度</w:t>
          </w:r>
          <w:r>
            <w:rPr>
              <w:rFonts w:hint="eastAsia" w:asciiTheme="minorEastAsia" w:hAnsiTheme="minorEastAsia" w:eastAsiaTheme="minorEastAsia" w:cstheme="minorEastAsia"/>
              <w:b/>
              <w:bCs/>
              <w:sz w:val="24"/>
              <w:szCs w:val="24"/>
            </w:rPr>
            <w:t>单位决算情况说明</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_Toc29469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_Toc4961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_Toc4961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_Toc6270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二、收入决算情况说明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_Toc6270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_Toc22069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_Toc22069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_Toc29734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四、财政拨款收入支出决算总体情况说明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_Toc29734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_Toc5844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五、一般公共预算财政拨款支出决算情况说明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_Toc5317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六、一般公共预算财政拨款基本支出决算情况说明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_Toc5317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七、“三公”经费财政拨款支出决算情况说明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_Toc30356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八、政府性基金预算支出决算情况说明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九、国有资本经营预算支出决算情况说明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_Toc14155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第三部分 名词解释</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_Toc14155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0"/>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_Toc11426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第四部分 附件</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_Toc11426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0"/>
            <w:tabs>
              <w:tab w:val="right" w:leader="dot" w:pos="8306"/>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_Toc9951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第五部分 附表</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_Toc9951 \h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15</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_Toc29476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_Toc29476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_Toc8267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二、收入决算表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_Toc17764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_Toc26909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四、财政拨款收入支出决算总表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_Toc26909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_Toc15059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_Toc15059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_Toc27964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六、一般公共预算财政拨款支出决算表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_Toc27964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七、一般公共预算财政拨款支出决算明细表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八、一般公共预算财政拨款基本支出决算表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_Toc4862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九、一般公共预算财政拨款项目支出决算表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_Toc4862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_Toc5528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十、一般公共预算财政拨款“三公”经费支出决算表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_Toc5528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_Toc16232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十一、政府性基金预算财政拨款收入支出决算表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_Toc16232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_Toc25551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十二、政府性基金预算财政拨款“三公”经费支出决算表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十三、国有资本经营预算财政拨款收入支出决算表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1"/>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十四、国有资本经营预算财政拨款支出决算表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
            <w:jc w:val="center"/>
            <w:outlineLvl w:val="9"/>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黑体" w:hAnsi="黑体" w:eastAsia="黑体"/>
              <w:b/>
            </w:rPr>
            <w:fldChar w:fldCharType="end"/>
          </w:r>
        </w:p>
      </w:sdtContent>
    </w:sdt>
    <w:p>
      <w:pPr>
        <w:pStyle w:val="3"/>
        <w:jc w:val="center"/>
        <w:rPr>
          <w:rStyle w:val="24"/>
          <w:rFonts w:ascii="黑体" w:hAnsi="黑体" w:eastAsia="黑体"/>
          <w:b/>
          <w:bCs w:val="0"/>
        </w:rPr>
      </w:pPr>
      <w:bookmarkStart w:id="17" w:name="_Toc20142"/>
      <w:r>
        <w:rPr>
          <w:rFonts w:hint="eastAsia" w:ascii="黑体" w:hAnsi="黑体" w:eastAsia="黑体"/>
          <w:b w:val="0"/>
        </w:rPr>
        <w:t>第一部分 单位</w:t>
      </w:r>
      <w:r>
        <w:rPr>
          <w:rStyle w:val="24"/>
          <w:rFonts w:hint="eastAsia" w:ascii="黑体" w:hAnsi="黑体" w:eastAsia="黑体"/>
          <w:b w:val="0"/>
          <w:bCs w:val="0"/>
        </w:rPr>
        <w:t>概况</w:t>
      </w:r>
      <w:bookmarkEnd w:id="15"/>
      <w:bookmarkEnd w:id="16"/>
      <w:bookmarkEnd w:id="17"/>
    </w:p>
    <w:p>
      <w:pPr>
        <w:widowControl/>
        <w:jc w:val="left"/>
        <w:rPr>
          <w:rFonts w:ascii="黑体" w:eastAsia="黑体"/>
          <w:sz w:val="32"/>
          <w:szCs w:val="32"/>
        </w:rPr>
      </w:pPr>
    </w:p>
    <w:p>
      <w:pPr>
        <w:pStyle w:val="4"/>
        <w:rPr>
          <w:rStyle w:val="25"/>
          <w:rFonts w:ascii="黑体" w:hAnsi="黑体" w:eastAsia="黑体"/>
          <w:b w:val="0"/>
          <w:bCs w:val="0"/>
        </w:rPr>
      </w:pPr>
      <w:bookmarkStart w:id="18" w:name="_Toc31743"/>
      <w:bookmarkStart w:id="19" w:name="_Toc15377197"/>
      <w:bookmarkStart w:id="20" w:name="_Toc15396600"/>
      <w:r>
        <w:rPr>
          <w:rStyle w:val="25"/>
          <w:rFonts w:hint="eastAsia" w:ascii="黑体" w:hAnsi="黑体" w:eastAsia="黑体"/>
          <w:b w:val="0"/>
          <w:bCs w:val="0"/>
        </w:rPr>
        <w:t>一、职能简介</w:t>
      </w:r>
      <w:bookmarkEnd w:id="18"/>
    </w:p>
    <w:p>
      <w:pPr>
        <w:rPr>
          <w:rFonts w:ascii="仿宋_GB2312" w:eastAsia="仿宋_GB2312"/>
          <w:spacing w:val="4"/>
          <w:sz w:val="32"/>
          <w:szCs w:val="32"/>
        </w:rPr>
      </w:pPr>
      <w:r>
        <w:rPr>
          <w:rFonts w:hint="eastAsia" w:ascii="仿宋_GB2312" w:eastAsia="仿宋_GB2312"/>
          <w:spacing w:val="4"/>
          <w:sz w:val="32"/>
          <w:szCs w:val="32"/>
        </w:rPr>
        <w:t xml:space="preserve">    四川省地矿局区调队始建于1959年，现有员工322人，其中专业技术人员200余人。是四川省唯一一支区域地质调查专业队伍，多次被部、省嘉奖，授予“地质找矿功勋单位”、“大庆式”企业、地矿部政治思想工作先进单位称号。主要从事国家公益性地质工作、矿产勘查开发与矿山服务、生态环境与地质环境保护、地质灾害治理与工程地质勘察、地质遗迹保护与地质公园申报、土地调查与规划、旅游资源开发、信息工程、测绘等工作。</w:t>
      </w:r>
    </w:p>
    <w:p>
      <w:pPr>
        <w:pStyle w:val="4"/>
        <w:rPr>
          <w:rFonts w:ascii="黑体" w:hAnsi="黑体" w:eastAsia="黑体"/>
          <w:b w:val="0"/>
        </w:rPr>
      </w:pPr>
      <w:bookmarkStart w:id="21" w:name="_Toc110"/>
      <w:r>
        <w:rPr>
          <w:rFonts w:hint="eastAsia" w:ascii="黑体" w:hAnsi="黑体" w:eastAsia="黑体"/>
          <w:b w:val="0"/>
        </w:rPr>
        <w:t>二、2021年重点工作</w:t>
      </w:r>
      <w:bookmarkEnd w:id="19"/>
      <w:bookmarkEnd w:id="20"/>
      <w:r>
        <w:rPr>
          <w:rFonts w:hint="eastAsia" w:ascii="黑体" w:hAnsi="黑体" w:eastAsia="黑体"/>
          <w:b w:val="0"/>
        </w:rPr>
        <w:t>完成情况</w:t>
      </w:r>
      <w:bookmarkEnd w:id="21"/>
    </w:p>
    <w:p>
      <w:pPr>
        <w:spacing w:line="560" w:lineRule="exact"/>
        <w:ind w:firstLine="656" w:firstLineChars="200"/>
        <w:rPr>
          <w:rFonts w:ascii="仿宋_GB2312" w:eastAsia="仿宋_GB2312"/>
          <w:spacing w:val="4"/>
          <w:sz w:val="32"/>
          <w:szCs w:val="32"/>
        </w:rPr>
      </w:pPr>
      <w:r>
        <w:rPr>
          <w:rFonts w:hint="eastAsia" w:ascii="仿宋_GB2312" w:eastAsia="仿宋_GB2312"/>
          <w:spacing w:val="4"/>
          <w:sz w:val="32"/>
          <w:szCs w:val="32"/>
        </w:rPr>
        <w:t>一年来，我们坚定以习近平新时代中国特色社会主义思想为指导，全面落实习近平总书记对四川工作系列重要指示精神和省委决策部署，在上级部门领导下，抓好疫情常态化防控和改革发展双统筹，聚焦“五大产业”，突出重点、强化举措、扎实推进各项工作落实落地，较好地完成九届五次会议确定的目标任务。一年来，我们主要做了以下工作：</w:t>
      </w:r>
    </w:p>
    <w:p>
      <w:pPr>
        <w:spacing w:line="560" w:lineRule="exact"/>
        <w:ind w:firstLine="656" w:firstLineChars="200"/>
        <w:rPr>
          <w:rFonts w:ascii="仿宋_GB2312" w:eastAsia="仿宋_GB2312"/>
          <w:spacing w:val="4"/>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1、构筑战略转型新架构，助力转企改制进程。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2、深化沟通交流，力促合作共赢。</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3、提升科技创新能力，推进科技成果转化。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4、加强人才培养和引进，推动人才质量提升。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5、全面从严治党，以高质量党建引领高质量发展。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6、统筹疫情防控和安全生产，安全发展基础不断夯实。</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7、抓民生促和谐，职工群众获得感幸福感不断提升。</w:t>
      </w:r>
    </w:p>
    <w:p>
      <w:pPr>
        <w:pStyle w:val="4"/>
        <w:rPr>
          <w:rFonts w:ascii="黑体" w:hAnsi="黑体" w:eastAsia="黑体"/>
          <w:b w:val="0"/>
        </w:rPr>
      </w:pPr>
      <w:bookmarkStart w:id="22" w:name="_Toc563"/>
      <w:r>
        <w:rPr>
          <w:rFonts w:ascii="黑体" w:hAnsi="黑体" w:eastAsia="黑体"/>
          <w:b w:val="0"/>
        </w:rPr>
        <w:t>三、机构设置情况</w:t>
      </w:r>
      <w:bookmarkEnd w:id="22"/>
    </w:p>
    <w:p>
      <w:pPr>
        <w:ind w:firstLine="640" w:firstLineChars="200"/>
        <w:rPr>
          <w:rFonts w:ascii="仿宋" w:hAnsi="仿宋" w:eastAsia="仿宋"/>
          <w:kern w:val="0"/>
          <w:sz w:val="32"/>
          <w:szCs w:val="32"/>
        </w:rPr>
      </w:pPr>
      <w:r>
        <w:rPr>
          <w:rFonts w:hint="eastAsia" w:ascii="仿宋_GB2312" w:eastAsia="仿宋_GB2312"/>
          <w:sz w:val="32"/>
          <w:szCs w:val="32"/>
        </w:rPr>
        <w:t>四川省地质矿产勘查开发局区域地质调查队</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14个职能科室组成，分别是：行政及人力资源部门、党群工作部、纪检监察室、经营发展部、财务部、审计部、技术部、安全管理部、工会办公室、离退休办公室、网络信息部、档案馆、科创中心、后勤服务中心。</w:t>
      </w:r>
      <w:r>
        <w:rPr>
          <w:rFonts w:ascii="仿宋" w:hAnsi="仿宋" w:eastAsia="仿宋"/>
          <w:sz w:val="32"/>
          <w:szCs w:val="32"/>
        </w:rPr>
        <w:br w:type="page"/>
      </w:r>
    </w:p>
    <w:p>
      <w:pPr>
        <w:pStyle w:val="3"/>
        <w:ind w:right="440"/>
        <w:jc w:val="center"/>
        <w:rPr>
          <w:rStyle w:val="24"/>
          <w:rFonts w:ascii="黑体" w:hAnsi="黑体" w:eastAsia="黑体"/>
          <w:b w:val="0"/>
          <w:bCs/>
        </w:rPr>
      </w:pPr>
      <w:bookmarkStart w:id="23" w:name="_Toc15377204"/>
      <w:bookmarkStart w:id="24" w:name="_Toc29469"/>
      <w:bookmarkStart w:id="25"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23"/>
      <w:bookmarkEnd w:id="24"/>
      <w:bookmarkEnd w:id="25"/>
    </w:p>
    <w:p/>
    <w:p>
      <w:pPr>
        <w:pStyle w:val="23"/>
        <w:numPr>
          <w:ilvl w:val="0"/>
          <w:numId w:val="1"/>
        </w:numPr>
        <w:spacing w:line="600" w:lineRule="exact"/>
        <w:ind w:firstLineChars="0"/>
        <w:outlineLvl w:val="1"/>
        <w:rPr>
          <w:rStyle w:val="25"/>
          <w:rFonts w:ascii="黑体" w:hAnsi="黑体" w:eastAsia="黑体"/>
          <w:b w:val="0"/>
        </w:rPr>
      </w:pPr>
      <w:bookmarkStart w:id="26" w:name="_Toc4961"/>
      <w:bookmarkStart w:id="27" w:name="_Toc15396603"/>
      <w:bookmarkStart w:id="28"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bookmarkEnd w:id="28"/>
    </w:p>
    <w:p>
      <w:pPr>
        <w:spacing w:line="600" w:lineRule="exact"/>
        <w:ind w:firstLine="640" w:firstLineChars="200"/>
        <w:rPr>
          <w:rFonts w:ascii="仿宋_GB2312" w:hAnsi="仿宋_GB2312" w:eastAsia="仿宋_GB2312"/>
          <w:spacing w:val="4"/>
          <w:sz w:val="32"/>
          <w:szCs w:val="32"/>
        </w:rPr>
      </w:pPr>
      <w:r>
        <w:rPr>
          <w:rFonts w:hint="eastAsia" w:ascii="仿宋" w:hAnsi="仿宋" w:eastAsia="仿宋"/>
          <w:sz w:val="32"/>
          <w:szCs w:val="32"/>
        </w:rPr>
        <w:t>2021年度收、支总计9,781.47万元。与2020年相比，收、支总计各增加113.83万元，增长1.18</w:t>
      </w:r>
      <w:r>
        <w:rPr>
          <w:rFonts w:ascii="仿宋" w:hAnsi="仿宋" w:eastAsia="仿宋"/>
          <w:sz w:val="32"/>
          <w:szCs w:val="32"/>
        </w:rPr>
        <w:t>%</w:t>
      </w:r>
      <w:r>
        <w:rPr>
          <w:rFonts w:hint="eastAsia" w:ascii="仿宋" w:hAnsi="仿宋" w:eastAsia="仿宋"/>
          <w:sz w:val="32"/>
          <w:szCs w:val="32"/>
        </w:rPr>
        <w:t>。主要变动原因是2021年</w:t>
      </w:r>
      <w:r>
        <w:rPr>
          <w:rFonts w:hint="eastAsia" w:ascii="仿宋_GB2312" w:hAnsi="仿宋_GB2312" w:eastAsia="仿宋_GB2312"/>
          <w:spacing w:val="4"/>
          <w:sz w:val="32"/>
          <w:szCs w:val="32"/>
        </w:rPr>
        <w:t>补发了职工2014-2020年退休人员生活补贴。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rPr>
          <w:rFonts w:hint="eastAsia"/>
        </w:rPr>
        <w:drawing>
          <wp:inline distT="0" distB="0" distL="0" distR="0">
            <wp:extent cx="5095875" cy="28384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9" w:name="_Toc15377206"/>
      <w:bookmarkStart w:id="30" w:name="_Toc6270"/>
      <w:bookmarkStart w:id="31" w:name="_Toc15396604"/>
      <w:r>
        <w:rPr>
          <w:rFonts w:hint="eastAsia" w:ascii="黑体" w:hAnsi="黑体" w:eastAsia="黑体"/>
          <w:sz w:val="32"/>
          <w:szCs w:val="32"/>
        </w:rPr>
        <w:t>收</w:t>
      </w:r>
      <w:r>
        <w:rPr>
          <w:rStyle w:val="25"/>
          <w:rFonts w:hint="eastAsia" w:ascii="黑体" w:hAnsi="黑体" w:eastAsia="黑体"/>
          <w:b w:val="0"/>
        </w:rPr>
        <w:t>入决算情况说明</w:t>
      </w:r>
      <w:bookmarkEnd w:id="29"/>
      <w:bookmarkEnd w:id="30"/>
      <w:bookmarkEnd w:id="31"/>
    </w:p>
    <w:p>
      <w:pPr>
        <w:spacing w:line="600" w:lineRule="exact"/>
        <w:ind w:firstLine="640" w:firstLineChars="200"/>
        <w:outlineLvl w:val="1"/>
        <w:rPr>
          <w:rFonts w:ascii="仿宋" w:hAnsi="仿宋" w:eastAsia="仿宋"/>
          <w:sz w:val="32"/>
          <w:szCs w:val="32"/>
        </w:rPr>
      </w:pPr>
      <w:bookmarkStart w:id="32" w:name="_Toc23201"/>
      <w:r>
        <w:rPr>
          <w:rFonts w:ascii="仿宋" w:hAnsi="仿宋" w:eastAsia="仿宋"/>
          <w:sz w:val="32"/>
          <w:szCs w:val="32"/>
        </w:rPr>
        <w:t>20</w:t>
      </w:r>
      <w:r>
        <w:rPr>
          <w:rFonts w:hint="eastAsia" w:ascii="仿宋" w:hAnsi="仿宋" w:eastAsia="仿宋"/>
          <w:sz w:val="32"/>
          <w:szCs w:val="32"/>
        </w:rPr>
        <w:t>21年本年收入合计7,903.75万元，其中：一般公共预算财政拨款收入5,164.49万元，占65.34</w:t>
      </w:r>
      <w:r>
        <w:rPr>
          <w:rFonts w:ascii="仿宋" w:hAnsi="仿宋" w:eastAsia="仿宋"/>
          <w:sz w:val="32"/>
          <w:szCs w:val="32"/>
        </w:rPr>
        <w:t>%</w:t>
      </w:r>
      <w:r>
        <w:rPr>
          <w:rFonts w:hint="eastAsia" w:ascii="仿宋" w:hAnsi="仿宋" w:eastAsia="仿宋"/>
          <w:sz w:val="32"/>
          <w:szCs w:val="32"/>
        </w:rPr>
        <w:t>；经营收入2,728.0</w:t>
      </w:r>
      <w:r>
        <w:rPr>
          <w:rFonts w:hint="eastAsia" w:ascii="仿宋" w:hAnsi="仿宋" w:eastAsia="仿宋"/>
          <w:sz w:val="32"/>
          <w:szCs w:val="32"/>
          <w:lang w:val="en-US" w:eastAsia="zh-CN"/>
        </w:rPr>
        <w:t>7</w:t>
      </w:r>
      <w:r>
        <w:rPr>
          <w:rFonts w:hint="eastAsia" w:ascii="仿宋" w:hAnsi="仿宋" w:eastAsia="仿宋"/>
          <w:sz w:val="32"/>
          <w:szCs w:val="32"/>
        </w:rPr>
        <w:t>万元，占34.52</w:t>
      </w:r>
      <w:r>
        <w:rPr>
          <w:rFonts w:ascii="仿宋" w:hAnsi="仿宋" w:eastAsia="仿宋"/>
          <w:sz w:val="32"/>
          <w:szCs w:val="32"/>
        </w:rPr>
        <w:t>%</w:t>
      </w:r>
      <w:r>
        <w:rPr>
          <w:rFonts w:hint="eastAsia" w:ascii="仿宋" w:hAnsi="仿宋" w:eastAsia="仿宋"/>
          <w:sz w:val="32"/>
          <w:szCs w:val="32"/>
        </w:rPr>
        <w:t>；其他收入11.19万元，占0.14</w:t>
      </w:r>
      <w:r>
        <w:rPr>
          <w:rFonts w:ascii="仿宋" w:hAnsi="仿宋" w:eastAsia="仿宋"/>
          <w:sz w:val="32"/>
          <w:szCs w:val="32"/>
        </w:rPr>
        <w:t>%</w:t>
      </w:r>
      <w:r>
        <w:rPr>
          <w:rFonts w:hint="eastAsia" w:ascii="仿宋" w:hAnsi="仿宋" w:eastAsia="仿宋"/>
          <w:sz w:val="32"/>
          <w:szCs w:val="32"/>
        </w:rPr>
        <w:t>。</w:t>
      </w:r>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rPr>
          <w:rFonts w:hint="eastAsia"/>
        </w:rPr>
        <w:drawing>
          <wp:inline distT="0" distB="0" distL="0" distR="0">
            <wp:extent cx="4752975" cy="26670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3" w:name="_Toc15396605"/>
      <w:bookmarkStart w:id="34" w:name="_Toc22069"/>
      <w:bookmarkStart w:id="35" w:name="_Toc15377207"/>
      <w:r>
        <w:rPr>
          <w:rFonts w:hint="eastAsia" w:ascii="黑体" w:hAnsi="黑体" w:eastAsia="黑体"/>
          <w:sz w:val="32"/>
          <w:szCs w:val="32"/>
        </w:rPr>
        <w:t>支</w:t>
      </w:r>
      <w:r>
        <w:rPr>
          <w:rStyle w:val="25"/>
          <w:rFonts w:hint="eastAsia" w:ascii="黑体" w:hAnsi="黑体" w:eastAsia="黑体"/>
          <w:b w:val="0"/>
        </w:rPr>
        <w:t>出决算情况说明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14891"/>
      <w:r>
        <w:rPr>
          <w:rFonts w:ascii="仿宋" w:hAnsi="仿宋" w:eastAsia="仿宋"/>
          <w:sz w:val="32"/>
          <w:szCs w:val="32"/>
        </w:rPr>
        <w:t>20</w:t>
      </w:r>
      <w:r>
        <w:rPr>
          <w:rFonts w:hint="eastAsia" w:ascii="仿宋" w:hAnsi="仿宋" w:eastAsia="仿宋"/>
          <w:sz w:val="32"/>
          <w:szCs w:val="32"/>
        </w:rPr>
        <w:t>21年本年支出合计9,781.11万元，其中：基本支出6,211.26万元，占63.50</w:t>
      </w:r>
      <w:r>
        <w:rPr>
          <w:rFonts w:ascii="仿宋" w:hAnsi="仿宋" w:eastAsia="仿宋"/>
          <w:sz w:val="32"/>
          <w:szCs w:val="32"/>
        </w:rPr>
        <w:t>%</w:t>
      </w:r>
      <w:r>
        <w:rPr>
          <w:rFonts w:hint="eastAsia" w:ascii="仿宋" w:hAnsi="仿宋" w:eastAsia="仿宋"/>
          <w:sz w:val="32"/>
          <w:szCs w:val="32"/>
        </w:rPr>
        <w:t>；项目支出1,184.79万元，占12.11</w:t>
      </w:r>
      <w:r>
        <w:rPr>
          <w:rFonts w:ascii="仿宋" w:hAnsi="仿宋" w:eastAsia="仿宋"/>
          <w:sz w:val="32"/>
          <w:szCs w:val="32"/>
        </w:rPr>
        <w:t>%</w:t>
      </w:r>
      <w:r>
        <w:rPr>
          <w:rFonts w:hint="eastAsia" w:ascii="仿宋" w:hAnsi="仿宋" w:eastAsia="仿宋"/>
          <w:sz w:val="32"/>
          <w:szCs w:val="32"/>
        </w:rPr>
        <w:t>；经营支出2,385.06万元，占24.39</w:t>
      </w:r>
      <w:r>
        <w:rPr>
          <w:rFonts w:ascii="仿宋" w:hAnsi="仿宋" w:eastAsia="仿宋"/>
          <w:sz w:val="32"/>
          <w:szCs w:val="32"/>
        </w:rPr>
        <w:t>%</w:t>
      </w:r>
      <w:r>
        <w:rPr>
          <w:rFonts w:hint="eastAsia" w:ascii="仿宋" w:hAnsi="仿宋" w:eastAsia="仿宋"/>
          <w:sz w:val="32"/>
          <w:szCs w:val="32"/>
        </w:rPr>
        <w:t>。</w:t>
      </w:r>
      <w:bookmarkEnd w:id="36"/>
    </w:p>
    <w:p>
      <w:pPr>
        <w:pStyle w:val="2"/>
        <w:spacing w:before="93"/>
      </w:pPr>
      <w:r>
        <w:rPr>
          <w:sz w:val="32"/>
          <w:szCs w:val="32"/>
        </w:rPr>
        <w:drawing>
          <wp:inline distT="0" distB="0" distL="0" distR="0">
            <wp:extent cx="4752975" cy="2199005"/>
            <wp:effectExtent l="19050" t="0" r="2831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firstLineChars="200"/>
        <w:outlineLvl w:val="1"/>
        <w:rPr>
          <w:rStyle w:val="25"/>
          <w:rFonts w:ascii="黑体" w:hAnsi="黑体" w:eastAsia="黑体"/>
          <w:b w:val="0"/>
        </w:rPr>
      </w:pPr>
      <w:bookmarkStart w:id="37" w:name="_Toc15396606"/>
      <w:bookmarkStart w:id="38" w:name="_Toc15377208"/>
      <w:bookmarkStart w:id="39" w:name="_Toc29734"/>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7"/>
      <w:bookmarkEnd w:id="38"/>
      <w:bookmarkEnd w:id="3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21年财政拨款收、支总计5,164.49万元。与</w:t>
      </w:r>
      <w:r>
        <w:rPr>
          <w:rFonts w:ascii="仿宋" w:hAnsi="仿宋" w:eastAsia="仿宋"/>
          <w:sz w:val="32"/>
          <w:szCs w:val="32"/>
        </w:rPr>
        <w:t>20</w:t>
      </w:r>
      <w:r>
        <w:rPr>
          <w:rFonts w:hint="eastAsia" w:ascii="仿宋" w:hAnsi="仿宋" w:eastAsia="仿宋"/>
          <w:sz w:val="32"/>
          <w:szCs w:val="32"/>
        </w:rPr>
        <w:t>20年相比，财政拨款收、支总计各减少1,065.25万元，下降17.1</w:t>
      </w:r>
      <w:r>
        <w:rPr>
          <w:rFonts w:ascii="仿宋" w:hAnsi="仿宋" w:eastAsia="仿宋"/>
          <w:sz w:val="32"/>
          <w:szCs w:val="32"/>
        </w:rPr>
        <w:t>%</w:t>
      </w:r>
      <w:r>
        <w:rPr>
          <w:rFonts w:hint="eastAsia" w:ascii="仿宋" w:hAnsi="仿宋" w:eastAsia="仿宋"/>
          <w:sz w:val="32"/>
          <w:szCs w:val="32"/>
        </w:rPr>
        <w:t>。主要变动原因是部门集中收入上缴减少。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rPr>
          <w:rFonts w:hint="eastAsia"/>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spacing w:before="93"/>
      </w:pPr>
    </w:p>
    <w:p>
      <w:pPr>
        <w:spacing w:line="600" w:lineRule="exact"/>
        <w:ind w:firstLine="640" w:firstLineChars="200"/>
        <w:outlineLvl w:val="1"/>
        <w:rPr>
          <w:rStyle w:val="25"/>
          <w:rFonts w:ascii="黑体" w:hAnsi="黑体" w:eastAsia="黑体"/>
          <w:b w:val="0"/>
        </w:rPr>
      </w:pPr>
      <w:bookmarkStart w:id="40" w:name="_Toc5844"/>
      <w:bookmarkStart w:id="41" w:name="_Toc15396607"/>
      <w:bookmarkStart w:id="42"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21年一般公共预算财政拨款支出5,164.49万元，占本年支出合计的52.80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20年相比，一般公共预算财政拨款支出减少1,065.25万元，下降17.10</w:t>
      </w:r>
      <w:r>
        <w:rPr>
          <w:rFonts w:ascii="仿宋" w:hAnsi="仿宋" w:eastAsia="仿宋"/>
          <w:sz w:val="32"/>
          <w:szCs w:val="32"/>
        </w:rPr>
        <w:t>%</w:t>
      </w:r>
      <w:r>
        <w:rPr>
          <w:rFonts w:hint="eastAsia" w:ascii="仿宋" w:hAnsi="仿宋" w:eastAsia="仿宋"/>
          <w:sz w:val="32"/>
          <w:szCs w:val="32"/>
        </w:rPr>
        <w:t>。主要变动原因是部门集中收入上缴减少。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rPr>
          <w:rFonts w:hint="eastAsia"/>
        </w:rPr>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21年一般公共预算财政拨款支出5,164.49万元，主要用于以下方面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5万元，占0.10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bCs/>
          <w:sz w:val="32"/>
          <w:szCs w:val="32"/>
        </w:rPr>
        <w:t>支出419.2万元</w:t>
      </w:r>
      <w:r>
        <w:rPr>
          <w:rFonts w:hint="eastAsia" w:ascii="仿宋" w:hAnsi="仿宋" w:eastAsia="仿宋"/>
          <w:b/>
          <w:bCs/>
          <w:sz w:val="32"/>
          <w:szCs w:val="32"/>
        </w:rPr>
        <w:t>，</w:t>
      </w:r>
      <w:r>
        <w:rPr>
          <w:rFonts w:hint="eastAsia" w:ascii="仿宋" w:hAnsi="仿宋" w:eastAsia="仿宋"/>
          <w:bCs/>
          <w:sz w:val="32"/>
          <w:szCs w:val="32"/>
        </w:rPr>
        <w:t>占8.12</w:t>
      </w:r>
      <w:r>
        <w:rPr>
          <w:rFonts w:ascii="仿宋" w:hAnsi="仿宋" w:eastAsia="仿宋"/>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支出1216.33万元，占23.55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74.85万元，占1.45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336.67万元，占6.52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资源勘探工业信息等支出</w:t>
      </w:r>
      <w:r>
        <w:rPr>
          <w:rFonts w:hint="eastAsia" w:ascii="仿宋" w:hAnsi="仿宋" w:eastAsia="仿宋"/>
          <w:sz w:val="32"/>
          <w:szCs w:val="32"/>
        </w:rPr>
        <w:t>3,112.44万元，占60.27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p>
    <w:p>
      <w:pPr>
        <w:pStyle w:val="2"/>
        <w:spacing w:before="93"/>
      </w:pPr>
      <w:r>
        <w:rPr>
          <w:rFonts w:hint="eastAsia"/>
        </w:rPr>
        <w:drawing>
          <wp:inline distT="0" distB="0" distL="0" distR="0">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spacing w:line="600" w:lineRule="exact"/>
        <w:ind w:firstLine="643" w:firstLineChars="200"/>
        <w:outlineLvl w:val="1"/>
        <w:rPr>
          <w:rFonts w:ascii="仿宋" w:hAnsi="仿宋" w:eastAsia="仿宋"/>
          <w:sz w:val="32"/>
          <w:szCs w:val="32"/>
        </w:rPr>
      </w:pPr>
      <w:bookmarkStart w:id="46" w:name="_Toc15377213"/>
      <w:bookmarkStart w:id="47" w:name="_Toc15377444"/>
      <w:bookmarkStart w:id="48" w:name="_Toc30298"/>
      <w:bookmarkStart w:id="49" w:name="_Toc15378460"/>
      <w:r>
        <w:rPr>
          <w:rFonts w:hint="eastAsia" w:ascii="仿宋" w:hAnsi="仿宋" w:eastAsia="仿宋"/>
          <w:b/>
          <w:sz w:val="32"/>
          <w:szCs w:val="32"/>
        </w:rPr>
        <w:t>2021年一般公共预算支出决算数为5,164.49万元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6"/>
      <w:bookmarkEnd w:id="47"/>
      <w:bookmarkEnd w:id="48"/>
      <w:bookmarkEnd w:id="49"/>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sz w:val="32"/>
          <w:szCs w:val="32"/>
        </w:rPr>
        <w:t>教育（类）进修</w:t>
      </w:r>
      <w:r>
        <w:rPr>
          <w:rStyle w:val="14"/>
          <w:rFonts w:ascii="仿宋" w:hAnsi="仿宋" w:eastAsia="仿宋"/>
          <w:bCs/>
          <w:sz w:val="32"/>
          <w:szCs w:val="32"/>
        </w:rPr>
        <w:t>及培训</w:t>
      </w:r>
      <w:r>
        <w:rPr>
          <w:rStyle w:val="14"/>
          <w:rFonts w:hint="eastAsia" w:ascii="仿宋" w:hAnsi="仿宋" w:eastAsia="仿宋"/>
          <w:bCs/>
          <w:sz w:val="32"/>
          <w:szCs w:val="32"/>
        </w:rPr>
        <w:t>（款）培训</w:t>
      </w:r>
      <w:r>
        <w:rPr>
          <w:rStyle w:val="14"/>
          <w:rFonts w:ascii="仿宋" w:hAnsi="仿宋" w:eastAsia="仿宋"/>
          <w:bCs/>
          <w:sz w:val="32"/>
          <w:szCs w:val="32"/>
        </w:rPr>
        <w:t>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文化旅游体育与传媒（类）文化</w:t>
      </w:r>
      <w:r>
        <w:rPr>
          <w:rStyle w:val="14"/>
          <w:rFonts w:ascii="仿宋" w:hAnsi="仿宋" w:eastAsia="仿宋"/>
          <w:bCs/>
          <w:sz w:val="32"/>
          <w:szCs w:val="32"/>
        </w:rPr>
        <w:t>和旅游</w:t>
      </w:r>
      <w:r>
        <w:rPr>
          <w:rStyle w:val="14"/>
          <w:rFonts w:hint="eastAsia" w:ascii="仿宋" w:hAnsi="仿宋" w:eastAsia="仿宋"/>
          <w:bCs/>
          <w:sz w:val="32"/>
          <w:szCs w:val="32"/>
        </w:rPr>
        <w:t>（款）其他</w:t>
      </w:r>
      <w:r>
        <w:rPr>
          <w:rStyle w:val="14"/>
          <w:rFonts w:ascii="仿宋" w:hAnsi="仿宋" w:eastAsia="仿宋"/>
          <w:bCs/>
          <w:sz w:val="32"/>
          <w:szCs w:val="32"/>
        </w:rPr>
        <w:t>文化和旅游支出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支出决算为419.20万元，完成预算100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社会保障和就业（类）行政</w:t>
      </w:r>
      <w:r>
        <w:rPr>
          <w:rStyle w:val="14"/>
          <w:rFonts w:ascii="仿宋" w:hAnsi="仿宋" w:eastAsia="仿宋"/>
          <w:bCs/>
          <w:sz w:val="32"/>
          <w:szCs w:val="32"/>
        </w:rPr>
        <w:t>事业单位养老支出</w:t>
      </w:r>
      <w:r>
        <w:rPr>
          <w:rStyle w:val="14"/>
          <w:rFonts w:hint="eastAsia" w:ascii="仿宋" w:hAnsi="仿宋" w:eastAsia="仿宋"/>
          <w:bCs/>
          <w:sz w:val="32"/>
          <w:szCs w:val="32"/>
        </w:rPr>
        <w:t>（款）事业</w:t>
      </w:r>
      <w:r>
        <w:rPr>
          <w:rStyle w:val="14"/>
          <w:rFonts w:ascii="仿宋" w:hAnsi="仿宋" w:eastAsia="仿宋"/>
          <w:bCs/>
          <w:sz w:val="32"/>
          <w:szCs w:val="32"/>
        </w:rPr>
        <w:t>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支出决算为559.85万元，完成预算100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社会保障和就业（类）行政</w:t>
      </w:r>
      <w:r>
        <w:rPr>
          <w:rStyle w:val="14"/>
          <w:rFonts w:ascii="仿宋" w:hAnsi="仿宋" w:eastAsia="仿宋"/>
          <w:bCs/>
          <w:sz w:val="32"/>
          <w:szCs w:val="32"/>
        </w:rPr>
        <w:t>事业单位养老支出</w:t>
      </w:r>
      <w:r>
        <w:rPr>
          <w:rStyle w:val="14"/>
          <w:rFonts w:hint="eastAsia" w:ascii="仿宋" w:hAnsi="仿宋" w:eastAsia="仿宋"/>
          <w:bCs/>
          <w:sz w:val="32"/>
          <w:szCs w:val="32"/>
        </w:rPr>
        <w:t>（款）机关事业单位基本养老保险缴费支出（项）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支出决算为436.78万元，完成预算100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社会保障和就业（类）行政</w:t>
      </w:r>
      <w:r>
        <w:rPr>
          <w:rStyle w:val="14"/>
          <w:rFonts w:ascii="仿宋" w:hAnsi="仿宋" w:eastAsia="仿宋"/>
          <w:bCs/>
          <w:sz w:val="32"/>
          <w:szCs w:val="32"/>
        </w:rPr>
        <w:t>事业单位养老支出</w:t>
      </w:r>
      <w:r>
        <w:rPr>
          <w:rStyle w:val="14"/>
          <w:rFonts w:hint="eastAsia" w:ascii="仿宋" w:hAnsi="仿宋" w:eastAsia="仿宋"/>
          <w:bCs/>
          <w:sz w:val="32"/>
          <w:szCs w:val="32"/>
        </w:rPr>
        <w:t>（款）机关事业单位职业年金缴费支出（项）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支出决算为218.39万元，完成预算100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pPr>
      <w:r>
        <w:rPr>
          <w:rStyle w:val="14"/>
          <w:rFonts w:hint="eastAsia" w:ascii="仿宋" w:hAnsi="仿宋" w:eastAsia="仿宋"/>
          <w:bCs/>
          <w:sz w:val="32"/>
          <w:szCs w:val="32"/>
        </w:rPr>
        <w:t>6</w:t>
      </w:r>
      <w:r>
        <w:rPr>
          <w:rStyle w:val="14"/>
          <w:rFonts w:ascii="仿宋" w:hAnsi="仿宋" w:eastAsia="仿宋"/>
          <w:bCs/>
          <w:sz w:val="32"/>
          <w:szCs w:val="32"/>
        </w:rPr>
        <w:t>.</w:t>
      </w:r>
      <w:r>
        <w:rPr>
          <w:rStyle w:val="14"/>
          <w:rFonts w:hint="eastAsia" w:ascii="仿宋" w:hAnsi="仿宋" w:eastAsia="仿宋"/>
          <w:bCs/>
          <w:sz w:val="32"/>
          <w:szCs w:val="32"/>
        </w:rPr>
        <w:t>社会保障和就业（类）其他社会保障和就业支出（款）其他社会保障和就业支出（项）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支出决算为1.31万元，完成预算100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w:t>
      </w:r>
      <w:r>
        <w:rPr>
          <w:rStyle w:val="14"/>
          <w:rFonts w:ascii="仿宋" w:hAnsi="仿宋" w:eastAsia="仿宋"/>
          <w:bCs/>
          <w:sz w:val="32"/>
          <w:szCs w:val="32"/>
        </w:rPr>
        <w:t>事业单位医疗</w:t>
      </w:r>
      <w:r>
        <w:rPr>
          <w:rStyle w:val="14"/>
          <w:rFonts w:hint="eastAsia" w:ascii="仿宋" w:hAnsi="仿宋" w:eastAsia="仿宋"/>
          <w:bCs/>
          <w:sz w:val="32"/>
          <w:szCs w:val="32"/>
        </w:rPr>
        <w:t>（款）事业</w:t>
      </w:r>
      <w:r>
        <w:rPr>
          <w:rStyle w:val="14"/>
          <w:rFonts w:ascii="仿宋" w:hAnsi="仿宋" w:eastAsia="仿宋"/>
          <w:bCs/>
          <w:sz w:val="32"/>
          <w:szCs w:val="32"/>
        </w:rPr>
        <w:t>单位医疗</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支出决算为74.85万元，完成预算100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pPr>
      <w:r>
        <w:rPr>
          <w:rStyle w:val="14"/>
          <w:rFonts w:hint="eastAsia" w:ascii="仿宋" w:hAnsi="仿宋" w:eastAsia="仿宋"/>
          <w:bCs/>
          <w:sz w:val="32"/>
          <w:szCs w:val="32"/>
        </w:rPr>
        <w:t>8</w:t>
      </w:r>
      <w:r>
        <w:rPr>
          <w:rStyle w:val="14"/>
          <w:rFonts w:ascii="仿宋" w:hAnsi="仿宋" w:eastAsia="仿宋"/>
          <w:bCs/>
          <w:sz w:val="32"/>
          <w:szCs w:val="32"/>
        </w:rPr>
        <w:t>.资源勘探工业信息等支出</w:t>
      </w:r>
      <w:r>
        <w:rPr>
          <w:rStyle w:val="14"/>
          <w:rFonts w:hint="eastAsia" w:ascii="仿宋" w:hAnsi="仿宋" w:eastAsia="仿宋"/>
          <w:bCs/>
          <w:sz w:val="32"/>
          <w:szCs w:val="32"/>
        </w:rPr>
        <w:t>（类）资源勘探开发（款）其他资源勘探业支出（项）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支出决算为3,112.44万元，完成预算100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9</w:t>
      </w:r>
      <w:r>
        <w:rPr>
          <w:rStyle w:val="14"/>
          <w:rFonts w:ascii="仿宋" w:hAnsi="仿宋" w:eastAsia="仿宋"/>
          <w:bCs/>
          <w:sz w:val="32"/>
          <w:szCs w:val="32"/>
        </w:rPr>
        <w:t>.</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支出决算为336.67万元，完成预算100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spacing w:before="93"/>
        <w:ind w:firstLine="600" w:firstLineChars="200"/>
      </w:pPr>
    </w:p>
    <w:p>
      <w:pPr>
        <w:tabs>
          <w:tab w:val="right" w:pos="8306"/>
        </w:tabs>
        <w:spacing w:line="600" w:lineRule="exact"/>
        <w:ind w:firstLine="640"/>
        <w:outlineLvl w:val="1"/>
        <w:rPr>
          <w:rStyle w:val="25"/>
        </w:rPr>
      </w:pPr>
      <w:bookmarkStart w:id="50" w:name="_Toc15396608"/>
      <w:bookmarkStart w:id="51" w:name="_Toc15377214"/>
      <w:bookmarkStart w:id="52" w:name="_Toc5317"/>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0"/>
      <w:bookmarkEnd w:id="51"/>
      <w:bookmarkEnd w:id="52"/>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21年一般公共预算财政拨款基本支出4,601.29万元，其中：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4,447.42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公用经费153.87万元，主要包括：</w:t>
      </w:r>
      <w:r>
        <w:rPr>
          <w:rFonts w:hint="eastAsia" w:ascii="仿宋" w:hAnsi="仿宋" w:eastAsia="仿宋"/>
          <w:color w:val="auto"/>
          <w:sz w:val="32"/>
          <w:szCs w:val="32"/>
          <w:highlight w:val="none"/>
        </w:rPr>
        <w:t>办公费、咨询费、水费、电费、邮电费、差旅费、维修（护）费、培训费、工会经费、福利费、其他商品和服务支出等。</w:t>
      </w:r>
    </w:p>
    <w:p>
      <w:pPr>
        <w:pStyle w:val="2"/>
        <w:spacing w:before="93"/>
      </w:pPr>
    </w:p>
    <w:p>
      <w:pPr>
        <w:spacing w:line="600" w:lineRule="exact"/>
        <w:ind w:firstLine="640"/>
        <w:outlineLvl w:val="1"/>
        <w:rPr>
          <w:rStyle w:val="25"/>
          <w:rFonts w:ascii="黑体" w:hAnsi="黑体" w:eastAsia="黑体"/>
          <w:b w:val="0"/>
        </w:rPr>
      </w:pPr>
      <w:bookmarkStart w:id="53" w:name="_Toc15396609"/>
      <w:bookmarkStart w:id="54" w:name="_Toc1918"/>
      <w:bookmarkStart w:id="55"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3"/>
      <w:bookmarkEnd w:id="54"/>
      <w:bookmarkEnd w:id="55"/>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本单位为事业单位，</w:t>
      </w:r>
      <w:bookmarkStart w:id="104" w:name="_GoBack"/>
      <w:bookmarkEnd w:id="104"/>
      <w:r>
        <w:rPr>
          <w:rFonts w:hint="eastAsia" w:ascii="仿宋" w:hAnsi="仿宋" w:eastAsia="仿宋"/>
          <w:color w:val="auto"/>
          <w:sz w:val="32"/>
          <w:szCs w:val="32"/>
          <w:highlight w:val="none"/>
          <w:lang w:val="en-US" w:eastAsia="zh-CN"/>
        </w:rPr>
        <w:t>无“三公”经费。2020年三公经费为0，2021年三公经费为0，与上年度一致，与上年度相比无增减变化。</w:t>
      </w:r>
    </w:p>
    <w:p>
      <w:pPr>
        <w:pStyle w:val="2"/>
      </w:pPr>
    </w:p>
    <w:p>
      <w:pPr>
        <w:spacing w:line="600" w:lineRule="exact"/>
        <w:ind w:firstLine="640"/>
        <w:outlineLvl w:val="1"/>
        <w:rPr>
          <w:rStyle w:val="25"/>
          <w:rFonts w:ascii="黑体" w:hAnsi="黑体" w:eastAsia="黑体"/>
        </w:rPr>
      </w:pPr>
      <w:bookmarkStart w:id="56" w:name="_Toc30356"/>
      <w:bookmarkStart w:id="57" w:name="_Toc15377218"/>
      <w:bookmarkStart w:id="58"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21年政府性基金预算财政拨款支出0元。</w:t>
      </w:r>
    </w:p>
    <w:p>
      <w:pPr>
        <w:pStyle w:val="2"/>
        <w:spacing w:before="93"/>
      </w:pPr>
    </w:p>
    <w:p>
      <w:pPr>
        <w:numPr>
          <w:ilvl w:val="0"/>
          <w:numId w:val="2"/>
        </w:numPr>
        <w:spacing w:line="600" w:lineRule="exact"/>
        <w:ind w:firstLine="640"/>
        <w:outlineLvl w:val="1"/>
        <w:rPr>
          <w:rStyle w:val="25"/>
          <w:rFonts w:ascii="黑体" w:hAnsi="黑体" w:eastAsia="黑体"/>
          <w:b w:val="0"/>
        </w:rPr>
      </w:pPr>
      <w:bookmarkStart w:id="59" w:name="_Toc15396611"/>
      <w:bookmarkStart w:id="60" w:name="_Toc15377219"/>
      <w:bookmarkStart w:id="61" w:name="_Toc1"/>
      <w:r>
        <w:rPr>
          <w:rStyle w:val="25"/>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21年国有资本经营预算财政拨款支出0元。</w:t>
      </w:r>
    </w:p>
    <w:p>
      <w:pPr>
        <w:pStyle w:val="2"/>
        <w:spacing w:before="93"/>
      </w:pPr>
    </w:p>
    <w:p>
      <w:pPr>
        <w:numPr>
          <w:ilvl w:val="0"/>
          <w:numId w:val="2"/>
        </w:numPr>
        <w:spacing w:line="600" w:lineRule="exact"/>
        <w:ind w:firstLine="640"/>
        <w:outlineLvl w:val="1"/>
        <w:rPr>
          <w:rStyle w:val="25"/>
          <w:rFonts w:ascii="黑体" w:hAnsi="黑体" w:eastAsia="黑体"/>
          <w:b w:val="0"/>
        </w:rPr>
      </w:pPr>
      <w:bookmarkStart w:id="62" w:name="_Toc15396612"/>
      <w:bookmarkStart w:id="63" w:name="_Toc6750"/>
      <w:bookmarkStart w:id="64" w:name="_Toc15377221"/>
      <w:r>
        <w:rPr>
          <w:rStyle w:val="25"/>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21年，四川省地质矿产勘查开发局区域地质调查队机关运行经费支出0元，</w:t>
      </w:r>
      <w:r>
        <w:rPr>
          <w:rFonts w:hint="eastAsia" w:ascii="仿宋" w:hAnsi="仿宋" w:eastAsia="仿宋"/>
          <w:sz w:val="32"/>
          <w:szCs w:val="32"/>
        </w:rPr>
        <w:t>本单位为事业单位，无</w:t>
      </w:r>
      <w:r>
        <w:rPr>
          <w:rFonts w:hint="eastAsia" w:ascii="仿宋_GB2312" w:eastAsia="仿宋_GB2312"/>
          <w:sz w:val="32"/>
          <w:szCs w:val="32"/>
        </w:rPr>
        <w:t>机关运行经费，与</w:t>
      </w:r>
      <w:r>
        <w:rPr>
          <w:rFonts w:ascii="仿宋_GB2312" w:eastAsia="仿宋_GB2312"/>
          <w:sz w:val="32"/>
          <w:szCs w:val="32"/>
        </w:rPr>
        <w:t>20</w:t>
      </w:r>
      <w:r>
        <w:rPr>
          <w:rFonts w:hint="eastAsia" w:ascii="仿宋_GB2312" w:eastAsia="仿宋_GB2312"/>
          <w:sz w:val="32"/>
          <w:szCs w:val="32"/>
        </w:rPr>
        <w:t>20年一致。</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省地质矿产勘查开发局区域地质调查队政府采购支出总额244.87万元，其中：政府采购货物支出244.87万元、政府采购工程支出0元、政府采购服务支出0元。授予中小企业合同金额0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日，四川省地质矿产勘查开发局区域地质调查队共有车辆6辆，其中：主要领导干部用车0辆、机要通信用车0辆、应急保障用车0辆、其他用车6辆，其他用车主要是用于项目生产经营，单价</w:t>
      </w:r>
      <w:r>
        <w:rPr>
          <w:rFonts w:ascii="仿宋_GB2312" w:eastAsia="仿宋_GB2312"/>
          <w:sz w:val="32"/>
          <w:szCs w:val="32"/>
        </w:rPr>
        <w:t>50</w:t>
      </w:r>
      <w:r>
        <w:rPr>
          <w:rFonts w:hint="eastAsia" w:ascii="仿宋_GB2312" w:eastAsia="仿宋_GB2312"/>
          <w:sz w:val="32"/>
          <w:szCs w:val="32"/>
        </w:rPr>
        <w:t>万元以上通用设备4台（套），单价</w:t>
      </w:r>
      <w:r>
        <w:rPr>
          <w:rFonts w:ascii="仿宋_GB2312" w:eastAsia="仿宋_GB2312"/>
          <w:sz w:val="32"/>
          <w:szCs w:val="32"/>
        </w:rPr>
        <w:t>100</w:t>
      </w:r>
      <w:r>
        <w:rPr>
          <w:rFonts w:hint="eastAsia" w:ascii="仿宋_GB2312" w:eastAsia="仿宋_GB2312"/>
          <w:sz w:val="32"/>
          <w:szCs w:val="32"/>
        </w:rPr>
        <w:t>万元以上专用设备1台（套）。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根据预算绩效管理要求，年终执行完毕后，对1个项目开展了绩效目标完成情况自评。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2021年特定目标类部门预算项目绩效目标自评表见附件（第四部分）。</w:t>
      </w:r>
    </w:p>
    <w:p>
      <w:pPr>
        <w:autoSpaceDE w:val="0"/>
        <w:autoSpaceDN w:val="0"/>
        <w:adjustRightInd w:val="0"/>
        <w:spacing w:line="600" w:lineRule="exact"/>
        <w:ind w:firstLine="643" w:firstLineChars="200"/>
        <w:rPr>
          <w:rFonts w:ascii="仿宋" w:hAnsi="仿宋" w:eastAsia="仿宋"/>
          <w:b/>
          <w:sz w:val="32"/>
          <w:szCs w:val="32"/>
        </w:rPr>
      </w:pP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68" w:name="_Toc14155"/>
      <w:bookmarkStart w:id="69" w:name="_Toc15377225"/>
      <w:bookmarkStart w:id="70" w:name="_Toc15396613"/>
      <w:r>
        <w:rPr>
          <w:rFonts w:hint="eastAsia" w:ascii="黑体" w:hAnsi="黑体" w:eastAsia="黑体"/>
          <w:sz w:val="44"/>
          <w:szCs w:val="44"/>
        </w:rPr>
        <w:t>名</w:t>
      </w:r>
      <w:r>
        <w:rPr>
          <w:rStyle w:val="24"/>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2"/>
        <w:spacing w:line="560" w:lineRule="exact"/>
        <w:ind w:firstLine="640" w:firstLineChars="200"/>
        <w:rPr>
          <w:rFonts w:ascii="仿宋_GB2312" w:eastAsia="仿宋_GB2312"/>
          <w:sz w:val="32"/>
          <w:szCs w:val="32"/>
        </w:rPr>
      </w:pPr>
      <w:bookmarkStart w:id="71" w:name="_Toc15396614"/>
      <w:bookmarkStart w:id="72"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经营收入：指事业单位在专业业务活动及其辅助活动之外开展非独立核算经营活动取得的收入，如社会地勘收入。</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8、教育支出（类）进修及培训（款）培训支出（项）：指用于事业单位员工的培训支出。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9、社会保障和就业支出（类）行政事业单位养老支出（款）事业单位离退休（项）：指用于事业单位离休人员工资及生活补贴。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10、社会保障和就业（类）行政事业单位养老支出（款）机关事业单位基本养老保险缴费支出（项）：指部门实施养老保险制度由单位缴纳的养老保险费的支出。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11、社会保障和就业（类）行政事业单位养老支出（款）机关事业单位职业年金缴费支出（项）：指部门实施养老保险制度由单位缴纳的职业年金的支出。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12、社会保障和就业（类）其他社会保障和就业支出（款）其他社会保障和就业支出（项）：指用于行政事业单位离退休其他方面的支出（6.30人员特殊困难补助）。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13、卫生健康支出（类）行政事业单位医疗（款）事业单位医疗（项）：指事业单位用于缴纳单位基本医疗保险支出。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14、资源勘探信息等支出（类）资源勘探开发（款）其他资源勘探业支出（项）：指局所属事业单位用于保障机构正常运行、开展日常工作的基本支出。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15、住房保障（类）住房改革支出（款）住房公积金（项）：指用于行政事业单位按规定为在职职工缴纳的住房公积金。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s="黑体"/>
          <w:sz w:val="32"/>
          <w:szCs w:val="32"/>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0"/>
        <w:rPr>
          <w:rStyle w:val="24"/>
          <w:rFonts w:ascii="黑体" w:hAnsi="黑体" w:eastAsia="黑体"/>
          <w:b w:val="0"/>
        </w:rPr>
      </w:pPr>
      <w:bookmarkStart w:id="73" w:name="_Toc11426"/>
      <w:r>
        <w:rPr>
          <w:rFonts w:hint="eastAsia" w:ascii="黑体" w:hAnsi="黑体" w:eastAsia="黑体"/>
          <w:sz w:val="44"/>
          <w:szCs w:val="44"/>
        </w:rPr>
        <w:t>第</w:t>
      </w:r>
      <w:r>
        <w:rPr>
          <w:rStyle w:val="24"/>
          <w:rFonts w:hint="eastAsia" w:ascii="黑体" w:hAnsi="黑体" w:eastAsia="黑体"/>
          <w:b w:val="0"/>
        </w:rPr>
        <w:t>四部分 附件</w:t>
      </w:r>
      <w:bookmarkEnd w:id="71"/>
      <w:bookmarkEnd w:id="73"/>
    </w:p>
    <w:p>
      <w:pPr>
        <w:spacing w:line="572" w:lineRule="exact"/>
        <w:jc w:val="left"/>
        <w:outlineLvl w:val="1"/>
        <w:rPr>
          <w:rFonts w:ascii="仿宋_GB2312" w:hAnsi="仿宋_GB2312" w:eastAsia="仿宋_GB2312" w:cs="仿宋_GB2312"/>
          <w:sz w:val="32"/>
          <w:szCs w:val="32"/>
        </w:rPr>
      </w:pPr>
      <w:bookmarkStart w:id="74" w:name="_Toc30646"/>
      <w:r>
        <w:rPr>
          <w:rFonts w:hint="eastAsia" w:ascii="黑体" w:hAnsi="黑体" w:eastAsia="黑体" w:cs="黑体"/>
          <w:sz w:val="32"/>
          <w:szCs w:val="32"/>
        </w:rPr>
        <w:t>附件</w:t>
      </w:r>
      <w:bookmarkEnd w:id="74"/>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385"/>
        <w:gridCol w:w="250"/>
        <w:gridCol w:w="1189"/>
        <w:gridCol w:w="1224"/>
        <w:gridCol w:w="597"/>
        <w:gridCol w:w="1812"/>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textAlignment w:val="center"/>
              <w:rPr>
                <w:rFonts w:ascii="宋体" w:hAnsi="宋体" w:cs="宋体"/>
                <w:b/>
                <w:sz w:val="32"/>
                <w:szCs w:val="32"/>
              </w:rPr>
            </w:pPr>
            <w:bookmarkStart w:id="75"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四川省地质矿产勘查开发局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四川省地质矿产勘查开发局区域地质调查队</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419.2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419.2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419.2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 xml:space="preserve">             419.2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由省地矿局组建外业工程师队伍，负责进驻183个县（市、区）开展现场技术指导，2020年5月底，完成第二批7个试点县的收尾工作和175个非试点县的外业技术指导工作；202</w:t>
            </w:r>
            <w:r>
              <w:rPr>
                <w:rFonts w:ascii="宋体" w:hAnsi="宋体" w:cs="宋体"/>
                <w:sz w:val="24"/>
              </w:rPr>
              <w:t>1</w:t>
            </w:r>
            <w:r>
              <w:rPr>
                <w:rFonts w:hint="eastAsia" w:ascii="宋体" w:hAnsi="宋体" w:cs="宋体"/>
                <w:sz w:val="24"/>
              </w:rPr>
              <w:t>年1</w:t>
            </w:r>
            <w:r>
              <w:rPr>
                <w:rFonts w:ascii="宋体" w:hAnsi="宋体" w:cs="宋体"/>
                <w:sz w:val="24"/>
              </w:rPr>
              <w:t>2</w:t>
            </w:r>
            <w:r>
              <w:rPr>
                <w:rFonts w:hint="eastAsia" w:ascii="宋体" w:hAnsi="宋体" w:cs="宋体"/>
                <w:sz w:val="24"/>
              </w:rPr>
              <w:t>月底，完成外业补充调查工作及市县两级成果编制工作。</w:t>
            </w:r>
          </w:p>
          <w:p>
            <w:pPr>
              <w:widowControl/>
              <w:spacing w:line="320" w:lineRule="exact"/>
              <w:jc w:val="left"/>
              <w:textAlignment w:val="top"/>
              <w:rPr>
                <w:rFonts w:ascii="宋体" w:hAnsi="宋体" w:cs="宋体"/>
                <w:sz w:val="24"/>
              </w:rPr>
            </w:pP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仿宋_GB2312" w:hAnsi="宋体"/>
                <w:lang w:val="zh-CN"/>
              </w:rPr>
              <w:t>，累计进行技术指导5.1万余人次，审核文字2亿余字、照片50万余张、视频10000余条，深入野外实地核查旅游资源1万余处，提出各类审查意见5万余条，实现了外业技术指导与普查成果审查全覆盖，进而开展了普查成果“质量回头看”对入库旅游资源数据核查2万余个。</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38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ascii="宋体" w:hAnsi="宋体" w:cs="宋体"/>
                <w:sz w:val="24"/>
              </w:rPr>
              <w:t>驻外工程师</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1000人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1100人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p>
        </w:tc>
        <w:tc>
          <w:tcPr>
            <w:tcW w:w="138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审查旅游资源调查表</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20万张</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24万张</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p>
        </w:tc>
        <w:tc>
          <w:tcPr>
            <w:tcW w:w="138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《四川省文化和旅游资源普查系列成果》印刷</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w:t>
            </w:r>
            <w:r>
              <w:rPr>
                <w:rFonts w:asciiTheme="majorEastAsia" w:hAnsiTheme="majorEastAsia" w:eastAsiaTheme="majorEastAsia" w:cstheme="majorEastAsia"/>
                <w:kern w:val="0"/>
                <w:sz w:val="24"/>
              </w:rPr>
              <w:t>00</w:t>
            </w:r>
            <w:r>
              <w:rPr>
                <w:rFonts w:hint="eastAsia" w:asciiTheme="majorEastAsia" w:hAnsiTheme="majorEastAsia" w:eastAsiaTheme="majorEastAsia" w:cstheme="majorEastAsia"/>
                <w:kern w:val="0"/>
                <w:sz w:val="24"/>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w:t>
            </w:r>
            <w:r>
              <w:rPr>
                <w:rFonts w:asciiTheme="majorEastAsia" w:hAnsiTheme="majorEastAsia" w:eastAsiaTheme="majorEastAsia" w:cstheme="majorEastAsia"/>
                <w:kern w:val="0"/>
                <w:sz w:val="24"/>
              </w:rPr>
              <w:t>00</w:t>
            </w:r>
            <w:r>
              <w:rPr>
                <w:rFonts w:hint="eastAsia" w:asciiTheme="majorEastAsia" w:hAnsiTheme="majorEastAsia" w:eastAsiaTheme="majorEastAsia" w:cstheme="majorEastAsia"/>
                <w:kern w:val="0"/>
                <w:sz w:val="24"/>
              </w:rPr>
              <w:t>套</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评审报告通过率</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按期完成</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2021年12月31日</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2021年12月31日</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预算金额内完成</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419.2万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419.2万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系统查明</w:t>
            </w:r>
            <w:r>
              <w:rPr>
                <w:rFonts w:hint="eastAsia" w:ascii="宋体" w:hAnsi="宋体" w:cs="宋体"/>
                <w:sz w:val="24"/>
              </w:rPr>
              <w:t>183个县文旅资源家底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183个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173个</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培训指导县级普查队员</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2万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3.9万</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发现自然景观</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7.36万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7.36万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新发现旅游资源</w:t>
            </w:r>
            <w:r>
              <w:rPr>
                <w:rFonts w:hint="eastAsia" w:ascii="宋体" w:hAnsi="宋体" w:cs="宋体"/>
                <w:sz w:val="24"/>
              </w:rPr>
              <w:t>，</w:t>
            </w:r>
            <w:r>
              <w:rPr>
                <w:rFonts w:ascii="宋体" w:hAnsi="宋体" w:cs="宋体"/>
                <w:sz w:val="24"/>
              </w:rPr>
              <w:t>推动文旅产业可持续高质量发展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6.51万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6.51万</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较满意</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ascii="宋体" w:hAnsi="宋体" w:cs="宋体"/>
                <w:sz w:val="24"/>
              </w:rPr>
              <w:t>大于等于</w:t>
            </w:r>
            <w:r>
              <w:rPr>
                <w:rFonts w:hint="eastAsia" w:ascii="宋体" w:hAnsi="宋体" w:cs="宋体"/>
                <w:sz w:val="24"/>
              </w:rPr>
              <w:t>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90%</w:t>
            </w:r>
          </w:p>
        </w:tc>
      </w:tr>
    </w:tbl>
    <w:p>
      <w:pPr>
        <w:spacing w:line="600" w:lineRule="exact"/>
        <w:jc w:val="center"/>
        <w:outlineLvl w:val="9"/>
        <w:rPr>
          <w:rFonts w:ascii="黑体" w:hAnsi="黑体" w:eastAsia="黑体"/>
          <w:sz w:val="44"/>
          <w:szCs w:val="44"/>
        </w:rPr>
      </w:pPr>
    </w:p>
    <w:p>
      <w:pPr>
        <w:spacing w:line="600" w:lineRule="exact"/>
        <w:jc w:val="center"/>
        <w:outlineLvl w:val="9"/>
        <w:rPr>
          <w:rFonts w:ascii="仿宋_GB2312" w:hAnsi="宋体" w:eastAsia="仿宋_GB2312" w:cs="宋体"/>
          <w:color w:val="000000"/>
          <w:kern w:val="0"/>
          <w:sz w:val="32"/>
          <w:szCs w:val="32"/>
          <w:shd w:val="clear" w:color="auto" w:fill="FFFFFF"/>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9"/>
        <w:rPr>
          <w:rFonts w:ascii="黑体" w:hAnsi="黑体" w:eastAsia="黑体"/>
          <w:sz w:val="44"/>
          <w:szCs w:val="44"/>
        </w:rPr>
      </w:pPr>
    </w:p>
    <w:p>
      <w:pPr>
        <w:spacing w:line="600" w:lineRule="exact"/>
        <w:jc w:val="center"/>
        <w:outlineLvl w:val="0"/>
        <w:rPr>
          <w:rFonts w:ascii="仿宋" w:hAnsi="仿宋" w:eastAsia="仿宋"/>
        </w:rPr>
      </w:pPr>
      <w:bookmarkStart w:id="76" w:name="_Toc9951"/>
      <w:r>
        <w:rPr>
          <w:rFonts w:hint="eastAsia" w:ascii="黑体" w:hAnsi="黑体" w:eastAsia="黑体"/>
          <w:sz w:val="44"/>
          <w:szCs w:val="44"/>
        </w:rPr>
        <w:t>第</w:t>
      </w:r>
      <w:r>
        <w:rPr>
          <w:rStyle w:val="24"/>
          <w:rFonts w:hint="eastAsia" w:ascii="黑体" w:hAnsi="黑体" w:eastAsia="黑体"/>
          <w:b w:val="0"/>
        </w:rPr>
        <w:t>五部分 附表</w:t>
      </w:r>
      <w:bookmarkEnd w:id="72"/>
      <w:bookmarkEnd w:id="75"/>
      <w:bookmarkEnd w:id="76"/>
      <w:bookmarkStart w:id="77" w:name="_Toc15396619"/>
    </w:p>
    <w:p>
      <w:pPr>
        <w:pStyle w:val="4"/>
        <w:rPr>
          <w:rFonts w:ascii="仿宋" w:hAnsi="仿宋" w:eastAsia="仿宋"/>
        </w:rPr>
      </w:pPr>
      <w:bookmarkStart w:id="78" w:name="_Toc29476"/>
      <w:r>
        <w:rPr>
          <w:rFonts w:hint="eastAsia" w:ascii="仿宋" w:hAnsi="仿宋" w:eastAsia="仿宋"/>
          <w:b w:val="0"/>
        </w:rPr>
        <w:t>一、收</w:t>
      </w:r>
      <w:r>
        <w:rPr>
          <w:rStyle w:val="25"/>
          <w:rFonts w:hint="eastAsia" w:ascii="仿宋" w:hAnsi="仿宋" w:eastAsia="仿宋"/>
          <w:b w:val="0"/>
          <w:bCs w:val="0"/>
        </w:rPr>
        <w:t>入支出决算总表</w:t>
      </w:r>
      <w:bookmarkEnd w:id="77"/>
      <w:bookmarkEnd w:id="78"/>
    </w:p>
    <w:p>
      <w:pPr>
        <w:pStyle w:val="4"/>
        <w:rPr>
          <w:rFonts w:ascii="仿宋" w:hAnsi="仿宋" w:eastAsia="仿宋"/>
        </w:rPr>
      </w:pPr>
      <w:bookmarkStart w:id="79" w:name="_Toc8267"/>
      <w:bookmarkStart w:id="80" w:name="_Toc15396620"/>
      <w:r>
        <w:rPr>
          <w:rFonts w:hint="eastAsia" w:ascii="仿宋" w:hAnsi="仿宋" w:eastAsia="仿宋"/>
          <w:b w:val="0"/>
        </w:rPr>
        <w:t>二、收</w:t>
      </w:r>
      <w:r>
        <w:rPr>
          <w:rStyle w:val="25"/>
          <w:rFonts w:hint="eastAsia" w:ascii="仿宋" w:hAnsi="仿宋" w:eastAsia="仿宋"/>
          <w:b w:val="0"/>
          <w:bCs w:val="0"/>
        </w:rPr>
        <w:t>入决算表</w:t>
      </w:r>
      <w:bookmarkEnd w:id="79"/>
      <w:bookmarkEnd w:id="80"/>
    </w:p>
    <w:p>
      <w:pPr>
        <w:pStyle w:val="4"/>
        <w:rPr>
          <w:rFonts w:ascii="仿宋" w:hAnsi="仿宋" w:eastAsia="仿宋"/>
        </w:rPr>
      </w:pPr>
      <w:bookmarkStart w:id="81" w:name="_Toc15396621"/>
      <w:bookmarkStart w:id="82" w:name="_Toc17764"/>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1"/>
      <w:bookmarkEnd w:id="82"/>
    </w:p>
    <w:p>
      <w:pPr>
        <w:pStyle w:val="4"/>
        <w:rPr>
          <w:rFonts w:ascii="仿宋" w:hAnsi="仿宋" w:eastAsia="仿宋"/>
          <w:b w:val="0"/>
        </w:rPr>
      </w:pPr>
      <w:bookmarkStart w:id="83" w:name="_Toc15396622"/>
      <w:bookmarkStart w:id="84" w:name="_Toc26909"/>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3"/>
      <w:bookmarkEnd w:id="84"/>
    </w:p>
    <w:p>
      <w:pPr>
        <w:pStyle w:val="4"/>
        <w:rPr>
          <w:rStyle w:val="25"/>
          <w:rFonts w:ascii="仿宋" w:hAnsi="仿宋" w:eastAsia="仿宋"/>
          <w:b w:val="0"/>
          <w:bCs w:val="0"/>
        </w:rPr>
      </w:pPr>
      <w:bookmarkStart w:id="85" w:name="_Toc15396623"/>
      <w:bookmarkStart w:id="86" w:name="_Toc15059"/>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5"/>
      <w:bookmarkEnd w:id="86"/>
      <w:bookmarkStart w:id="87" w:name="_Toc15396624"/>
    </w:p>
    <w:p>
      <w:pPr>
        <w:pStyle w:val="4"/>
        <w:rPr>
          <w:rFonts w:ascii="仿宋" w:hAnsi="仿宋" w:eastAsia="仿宋"/>
        </w:rPr>
      </w:pPr>
      <w:bookmarkStart w:id="88" w:name="_Toc27964"/>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7"/>
      <w:bookmarkEnd w:id="88"/>
    </w:p>
    <w:p>
      <w:pPr>
        <w:pStyle w:val="4"/>
        <w:rPr>
          <w:rFonts w:ascii="仿宋" w:hAnsi="仿宋" w:eastAsia="仿宋"/>
        </w:rPr>
      </w:pPr>
      <w:bookmarkStart w:id="89" w:name="_Toc1233"/>
      <w:bookmarkStart w:id="9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9"/>
      <w:bookmarkEnd w:id="90"/>
    </w:p>
    <w:p>
      <w:pPr>
        <w:pStyle w:val="4"/>
        <w:rPr>
          <w:rFonts w:ascii="仿宋" w:hAnsi="仿宋" w:eastAsia="仿宋"/>
        </w:rPr>
      </w:pPr>
      <w:bookmarkStart w:id="91" w:name="_Toc15396626"/>
      <w:bookmarkStart w:id="92" w:name="_Toc339"/>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1"/>
      <w:bookmarkEnd w:id="92"/>
    </w:p>
    <w:p>
      <w:pPr>
        <w:pStyle w:val="4"/>
        <w:rPr>
          <w:rFonts w:ascii="仿宋" w:hAnsi="仿宋" w:eastAsia="仿宋"/>
        </w:rPr>
      </w:pPr>
      <w:bookmarkStart w:id="93" w:name="_Toc15396627"/>
      <w:bookmarkStart w:id="94" w:name="_Toc4862"/>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3"/>
      <w:bookmarkEnd w:id="94"/>
    </w:p>
    <w:p>
      <w:pPr>
        <w:pStyle w:val="4"/>
        <w:rPr>
          <w:rFonts w:ascii="仿宋" w:hAnsi="仿宋" w:eastAsia="仿宋"/>
        </w:rPr>
      </w:pPr>
      <w:bookmarkStart w:id="95" w:name="_Toc15396628"/>
      <w:bookmarkStart w:id="96" w:name="_Toc55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95"/>
      <w:bookmarkEnd w:id="96"/>
    </w:p>
    <w:p>
      <w:pPr>
        <w:pStyle w:val="4"/>
        <w:rPr>
          <w:rFonts w:ascii="仿宋" w:hAnsi="仿宋" w:eastAsia="仿宋"/>
        </w:rPr>
      </w:pPr>
      <w:bookmarkStart w:id="97" w:name="_Toc16232"/>
      <w:bookmarkStart w:id="98"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7"/>
      <w:bookmarkEnd w:id="98"/>
    </w:p>
    <w:p>
      <w:pPr>
        <w:pStyle w:val="4"/>
        <w:rPr>
          <w:rFonts w:ascii="仿宋" w:hAnsi="仿宋" w:eastAsia="仿宋"/>
        </w:rPr>
      </w:pPr>
      <w:bookmarkStart w:id="99" w:name="_Toc15396630"/>
      <w:bookmarkStart w:id="100" w:name="_Toc25551"/>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99"/>
      <w:bookmarkEnd w:id="100"/>
    </w:p>
    <w:p>
      <w:pPr>
        <w:pStyle w:val="4"/>
        <w:rPr>
          <w:rStyle w:val="25"/>
          <w:rFonts w:ascii="仿宋" w:hAnsi="仿宋" w:eastAsia="仿宋"/>
          <w:b w:val="0"/>
          <w:bCs w:val="0"/>
        </w:rPr>
      </w:pPr>
      <w:bookmarkStart w:id="101" w:name="_Toc15396631"/>
      <w:bookmarkStart w:id="102" w:name="_Toc11527"/>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1"/>
      <w:bookmarkEnd w:id="102"/>
    </w:p>
    <w:p>
      <w:pPr>
        <w:rPr>
          <w:rFonts w:eastAsia="仿宋"/>
        </w:rPr>
      </w:pPr>
      <w:bookmarkStart w:id="103" w:name="_Toc6728"/>
      <w:r>
        <w:rPr>
          <w:rStyle w:val="25"/>
          <w:rFonts w:hint="eastAsia" w:ascii="仿宋" w:hAnsi="仿宋" w:eastAsia="仿宋"/>
          <w:b w:val="0"/>
          <w:bCs w:val="0"/>
        </w:rPr>
        <w:t>十四、国有资本经营预算财政拨款支出决算表</w:t>
      </w:r>
      <w:bookmarkEnd w:id="103"/>
    </w:p>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2"/>
                </w:pPr>
              </w:p>
            </w:txbxContent>
          </v:textbox>
        </v:shape>
      </w:pic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lYWZmMjdlMDQzODM2NThkNjlhNWNkZWEwNTU2NTgifQ=="/>
  </w:docVars>
  <w:rsids>
    <w:rsidRoot w:val="00F1361C"/>
    <w:rsid w:val="00000D7D"/>
    <w:rsid w:val="000222C6"/>
    <w:rsid w:val="0002549F"/>
    <w:rsid w:val="000367C1"/>
    <w:rsid w:val="0004243C"/>
    <w:rsid w:val="000455C8"/>
    <w:rsid w:val="000468DB"/>
    <w:rsid w:val="0006487A"/>
    <w:rsid w:val="00064BE1"/>
    <w:rsid w:val="00065F8F"/>
    <w:rsid w:val="00070A43"/>
    <w:rsid w:val="000768F2"/>
    <w:rsid w:val="0009184B"/>
    <w:rsid w:val="00093140"/>
    <w:rsid w:val="00094236"/>
    <w:rsid w:val="0009593C"/>
    <w:rsid w:val="00097322"/>
    <w:rsid w:val="000A6A92"/>
    <w:rsid w:val="000B047F"/>
    <w:rsid w:val="000B5923"/>
    <w:rsid w:val="000B5A48"/>
    <w:rsid w:val="000B6FF3"/>
    <w:rsid w:val="000C3467"/>
    <w:rsid w:val="000C3CA6"/>
    <w:rsid w:val="000D1267"/>
    <w:rsid w:val="000D1D50"/>
    <w:rsid w:val="000D5782"/>
    <w:rsid w:val="000E24B5"/>
    <w:rsid w:val="000E6613"/>
    <w:rsid w:val="000E7119"/>
    <w:rsid w:val="0011106F"/>
    <w:rsid w:val="00111D70"/>
    <w:rsid w:val="00114E9B"/>
    <w:rsid w:val="00117302"/>
    <w:rsid w:val="0014057A"/>
    <w:rsid w:val="00142216"/>
    <w:rsid w:val="00144D6A"/>
    <w:rsid w:val="0014729F"/>
    <w:rsid w:val="00157BAB"/>
    <w:rsid w:val="001654D1"/>
    <w:rsid w:val="00174518"/>
    <w:rsid w:val="0018106D"/>
    <w:rsid w:val="001877A7"/>
    <w:rsid w:val="00191536"/>
    <w:rsid w:val="00196687"/>
    <w:rsid w:val="001C0962"/>
    <w:rsid w:val="001D40AD"/>
    <w:rsid w:val="001D7531"/>
    <w:rsid w:val="001E737D"/>
    <w:rsid w:val="001F0592"/>
    <w:rsid w:val="001F3956"/>
    <w:rsid w:val="001F7506"/>
    <w:rsid w:val="002006CD"/>
    <w:rsid w:val="00202B36"/>
    <w:rsid w:val="00204B7A"/>
    <w:rsid w:val="00204CDE"/>
    <w:rsid w:val="0021101A"/>
    <w:rsid w:val="00220536"/>
    <w:rsid w:val="00235629"/>
    <w:rsid w:val="00235E7A"/>
    <w:rsid w:val="00260C38"/>
    <w:rsid w:val="002616C0"/>
    <w:rsid w:val="00265372"/>
    <w:rsid w:val="002662AA"/>
    <w:rsid w:val="00280496"/>
    <w:rsid w:val="00294DC9"/>
    <w:rsid w:val="00295495"/>
    <w:rsid w:val="002A31DE"/>
    <w:rsid w:val="002B2613"/>
    <w:rsid w:val="002D6D05"/>
    <w:rsid w:val="002F1818"/>
    <w:rsid w:val="002F567B"/>
    <w:rsid w:val="003216A9"/>
    <w:rsid w:val="00335245"/>
    <w:rsid w:val="00335A74"/>
    <w:rsid w:val="0036561B"/>
    <w:rsid w:val="0037013F"/>
    <w:rsid w:val="00380C92"/>
    <w:rsid w:val="0039644B"/>
    <w:rsid w:val="003A484F"/>
    <w:rsid w:val="003A4883"/>
    <w:rsid w:val="003B0BE0"/>
    <w:rsid w:val="003B0C1B"/>
    <w:rsid w:val="003B688C"/>
    <w:rsid w:val="003C0291"/>
    <w:rsid w:val="003C39AE"/>
    <w:rsid w:val="003C7B60"/>
    <w:rsid w:val="003D0C0F"/>
    <w:rsid w:val="003D1FB2"/>
    <w:rsid w:val="003D66DA"/>
    <w:rsid w:val="003E1310"/>
    <w:rsid w:val="003E6F55"/>
    <w:rsid w:val="003F55FE"/>
    <w:rsid w:val="003F6C49"/>
    <w:rsid w:val="00406254"/>
    <w:rsid w:val="004223DE"/>
    <w:rsid w:val="00434489"/>
    <w:rsid w:val="00437085"/>
    <w:rsid w:val="00443880"/>
    <w:rsid w:val="004464F4"/>
    <w:rsid w:val="004708CB"/>
    <w:rsid w:val="00471401"/>
    <w:rsid w:val="00473F31"/>
    <w:rsid w:val="0048263A"/>
    <w:rsid w:val="00487E5D"/>
    <w:rsid w:val="004A711F"/>
    <w:rsid w:val="004B0DC3"/>
    <w:rsid w:val="004B199D"/>
    <w:rsid w:val="004B4690"/>
    <w:rsid w:val="004C1D7E"/>
    <w:rsid w:val="004D3AE6"/>
    <w:rsid w:val="004E0A2D"/>
    <w:rsid w:val="004E206B"/>
    <w:rsid w:val="004E6DF7"/>
    <w:rsid w:val="004F0FBD"/>
    <w:rsid w:val="00500AEF"/>
    <w:rsid w:val="00505A47"/>
    <w:rsid w:val="00512FDA"/>
    <w:rsid w:val="00520DA0"/>
    <w:rsid w:val="00530862"/>
    <w:rsid w:val="0053293A"/>
    <w:rsid w:val="005579B2"/>
    <w:rsid w:val="005664BB"/>
    <w:rsid w:val="00566FFA"/>
    <w:rsid w:val="0057481D"/>
    <w:rsid w:val="0058486E"/>
    <w:rsid w:val="00585B33"/>
    <w:rsid w:val="0059014D"/>
    <w:rsid w:val="005B5C64"/>
    <w:rsid w:val="005B7EED"/>
    <w:rsid w:val="005C5337"/>
    <w:rsid w:val="005C6BD0"/>
    <w:rsid w:val="005D1C8B"/>
    <w:rsid w:val="005D468D"/>
    <w:rsid w:val="005D5CED"/>
    <w:rsid w:val="005F0C90"/>
    <w:rsid w:val="005F1A4C"/>
    <w:rsid w:val="00605688"/>
    <w:rsid w:val="006070AF"/>
    <w:rsid w:val="00607E6C"/>
    <w:rsid w:val="006101B1"/>
    <w:rsid w:val="00614E44"/>
    <w:rsid w:val="006201EC"/>
    <w:rsid w:val="0062270A"/>
    <w:rsid w:val="00622830"/>
    <w:rsid w:val="00623DA0"/>
    <w:rsid w:val="00630AEF"/>
    <w:rsid w:val="006325F8"/>
    <w:rsid w:val="00633463"/>
    <w:rsid w:val="00634C9A"/>
    <w:rsid w:val="006440E4"/>
    <w:rsid w:val="006510BE"/>
    <w:rsid w:val="0066343B"/>
    <w:rsid w:val="00664777"/>
    <w:rsid w:val="006748A4"/>
    <w:rsid w:val="00681A31"/>
    <w:rsid w:val="00683E73"/>
    <w:rsid w:val="0069423E"/>
    <w:rsid w:val="006A3141"/>
    <w:rsid w:val="006A5E34"/>
    <w:rsid w:val="006B2422"/>
    <w:rsid w:val="006B2B9A"/>
    <w:rsid w:val="006C1937"/>
    <w:rsid w:val="006D14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15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7DC"/>
    <w:rsid w:val="008C4DB1"/>
    <w:rsid w:val="008C4EAF"/>
    <w:rsid w:val="008C5176"/>
    <w:rsid w:val="008C7FD0"/>
    <w:rsid w:val="008E1DE7"/>
    <w:rsid w:val="008E5526"/>
    <w:rsid w:val="008E6FCF"/>
    <w:rsid w:val="008E707C"/>
    <w:rsid w:val="008F41CC"/>
    <w:rsid w:val="008F73A6"/>
    <w:rsid w:val="00900B08"/>
    <w:rsid w:val="00902155"/>
    <w:rsid w:val="00902908"/>
    <w:rsid w:val="00902FA3"/>
    <w:rsid w:val="00923564"/>
    <w:rsid w:val="0092392E"/>
    <w:rsid w:val="009315F9"/>
    <w:rsid w:val="00933499"/>
    <w:rsid w:val="00935C98"/>
    <w:rsid w:val="009372AE"/>
    <w:rsid w:val="00946945"/>
    <w:rsid w:val="00951248"/>
    <w:rsid w:val="0095152F"/>
    <w:rsid w:val="00953A24"/>
    <w:rsid w:val="00954C49"/>
    <w:rsid w:val="00955E37"/>
    <w:rsid w:val="0097099F"/>
    <w:rsid w:val="00971997"/>
    <w:rsid w:val="00971FFC"/>
    <w:rsid w:val="0098660A"/>
    <w:rsid w:val="009919DD"/>
    <w:rsid w:val="009931C3"/>
    <w:rsid w:val="009B17DC"/>
    <w:rsid w:val="009B2C43"/>
    <w:rsid w:val="009B4EAE"/>
    <w:rsid w:val="009B7573"/>
    <w:rsid w:val="009C22F4"/>
    <w:rsid w:val="009C2A4B"/>
    <w:rsid w:val="009C2E98"/>
    <w:rsid w:val="009C4334"/>
    <w:rsid w:val="009D17A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AB4"/>
    <w:rsid w:val="00AB64C9"/>
    <w:rsid w:val="00AC3C6A"/>
    <w:rsid w:val="00AD5620"/>
    <w:rsid w:val="00AD656B"/>
    <w:rsid w:val="00AD680D"/>
    <w:rsid w:val="00AD7C1B"/>
    <w:rsid w:val="00AE16BA"/>
    <w:rsid w:val="00AE1EBE"/>
    <w:rsid w:val="00B03C9D"/>
    <w:rsid w:val="00B0538B"/>
    <w:rsid w:val="00B060AE"/>
    <w:rsid w:val="00B10361"/>
    <w:rsid w:val="00B10517"/>
    <w:rsid w:val="00B14E76"/>
    <w:rsid w:val="00B161B8"/>
    <w:rsid w:val="00B2048C"/>
    <w:rsid w:val="00B253D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884"/>
    <w:rsid w:val="00C87FD8"/>
    <w:rsid w:val="00C91381"/>
    <w:rsid w:val="00C91CBB"/>
    <w:rsid w:val="00C93C2A"/>
    <w:rsid w:val="00CB3F9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2B17"/>
    <w:rsid w:val="00D51276"/>
    <w:rsid w:val="00D60113"/>
    <w:rsid w:val="00D6463D"/>
    <w:rsid w:val="00D7035F"/>
    <w:rsid w:val="00D8675A"/>
    <w:rsid w:val="00DA634F"/>
    <w:rsid w:val="00DA65AC"/>
    <w:rsid w:val="00DB1913"/>
    <w:rsid w:val="00DC410D"/>
    <w:rsid w:val="00DC5A81"/>
    <w:rsid w:val="00DC68CA"/>
    <w:rsid w:val="00DC7CBA"/>
    <w:rsid w:val="00DD73B7"/>
    <w:rsid w:val="00DF28BC"/>
    <w:rsid w:val="00DF34B9"/>
    <w:rsid w:val="00E01053"/>
    <w:rsid w:val="00E07ACF"/>
    <w:rsid w:val="00E16D02"/>
    <w:rsid w:val="00E331A1"/>
    <w:rsid w:val="00E33202"/>
    <w:rsid w:val="00E336A9"/>
    <w:rsid w:val="00E472B1"/>
    <w:rsid w:val="00E50624"/>
    <w:rsid w:val="00E53E52"/>
    <w:rsid w:val="00E568DF"/>
    <w:rsid w:val="00E64269"/>
    <w:rsid w:val="00E82267"/>
    <w:rsid w:val="00E853CE"/>
    <w:rsid w:val="00E867B6"/>
    <w:rsid w:val="00EA010F"/>
    <w:rsid w:val="00EA6DD2"/>
    <w:rsid w:val="00EC5029"/>
    <w:rsid w:val="00ED1B63"/>
    <w:rsid w:val="00ED3C1F"/>
    <w:rsid w:val="00ED4085"/>
    <w:rsid w:val="00ED420E"/>
    <w:rsid w:val="00ED5E08"/>
    <w:rsid w:val="00ED68D3"/>
    <w:rsid w:val="00ED6FBE"/>
    <w:rsid w:val="00EE2337"/>
    <w:rsid w:val="00EE2F57"/>
    <w:rsid w:val="00EF4C34"/>
    <w:rsid w:val="00EF77C6"/>
    <w:rsid w:val="00F00759"/>
    <w:rsid w:val="00F05438"/>
    <w:rsid w:val="00F1361C"/>
    <w:rsid w:val="00F156F0"/>
    <w:rsid w:val="00F160C7"/>
    <w:rsid w:val="00F2408F"/>
    <w:rsid w:val="00F240E9"/>
    <w:rsid w:val="00F36D8F"/>
    <w:rsid w:val="00F417B1"/>
    <w:rsid w:val="00F45853"/>
    <w:rsid w:val="00F602DF"/>
    <w:rsid w:val="00F754A1"/>
    <w:rsid w:val="00F75665"/>
    <w:rsid w:val="00F81FD9"/>
    <w:rsid w:val="00F841AA"/>
    <w:rsid w:val="00F84A94"/>
    <w:rsid w:val="00F87E96"/>
    <w:rsid w:val="00FA23E8"/>
    <w:rsid w:val="00FD3CC1"/>
    <w:rsid w:val="00FF1E02"/>
    <w:rsid w:val="00FF30B4"/>
    <w:rsid w:val="04005A02"/>
    <w:rsid w:val="089363F5"/>
    <w:rsid w:val="0A2032A3"/>
    <w:rsid w:val="0B8A37D8"/>
    <w:rsid w:val="10C055FF"/>
    <w:rsid w:val="118107EC"/>
    <w:rsid w:val="11DD6519"/>
    <w:rsid w:val="153813C8"/>
    <w:rsid w:val="16BB723D"/>
    <w:rsid w:val="18015F3F"/>
    <w:rsid w:val="1BE8440E"/>
    <w:rsid w:val="1D155CEE"/>
    <w:rsid w:val="20F57F95"/>
    <w:rsid w:val="240371BF"/>
    <w:rsid w:val="25C741E6"/>
    <w:rsid w:val="27842671"/>
    <w:rsid w:val="29FD04D3"/>
    <w:rsid w:val="2ABE7A3E"/>
    <w:rsid w:val="2B906D71"/>
    <w:rsid w:val="2EE32608"/>
    <w:rsid w:val="2EFA178C"/>
    <w:rsid w:val="30B46D73"/>
    <w:rsid w:val="319F7F4E"/>
    <w:rsid w:val="39AE70AB"/>
    <w:rsid w:val="3C0C0783"/>
    <w:rsid w:val="3F9F3A96"/>
    <w:rsid w:val="493C27E9"/>
    <w:rsid w:val="496F39ED"/>
    <w:rsid w:val="49FF41D3"/>
    <w:rsid w:val="4BE068DB"/>
    <w:rsid w:val="4BF6002B"/>
    <w:rsid w:val="4ECE2238"/>
    <w:rsid w:val="51DB4B86"/>
    <w:rsid w:val="5483649F"/>
    <w:rsid w:val="55333C3E"/>
    <w:rsid w:val="64CA39A1"/>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b="1" i="0" u="none" strike="noStrike" baseline="0"/>
              <a:t>图</a:t>
            </a:r>
            <a:r>
              <a:rPr lang="en-US" sz="1400" b="1" i="0" u="none" strike="noStrike" baseline="0"/>
              <a:t>1</a:t>
            </a:r>
            <a:r>
              <a:rPr lang="zh-CN" altLang="en-US" sz="1400" b="1" i="0" u="none" strike="noStrike" baseline="0"/>
              <a:t>：收、支决算总计变动情况（单位：万元）</a:t>
            </a:r>
            <a:endParaRPr lang="zh-CN" altLang="en-US" sz="1400"/>
          </a:p>
        </c:rich>
      </c:tx>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layout>
                <c:manualLayout>
                  <c:x val="0.00498442367601246"/>
                  <c:y val="0.004474272930648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000" b="0" i="0" u="none" strike="noStrike" baseline="0"/>
                      <a:t>9667.64</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9667.64</c:v>
                </c:pt>
                <c:pt idx="1">
                  <c:v>9781.46999999999</c:v>
                </c:pt>
              </c:numCache>
            </c:numRef>
          </c:val>
        </c:ser>
        <c:dLbls>
          <c:showLegendKey val="0"/>
          <c:showVal val="0"/>
          <c:showCatName val="0"/>
          <c:showSerName val="0"/>
          <c:showPercent val="0"/>
          <c:showBubbleSize val="0"/>
        </c:dLbls>
        <c:gapWidth val="150"/>
        <c:axId val="40170624"/>
        <c:axId val="40172160"/>
      </c:barChart>
      <c:catAx>
        <c:axId val="401706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172160"/>
        <c:crosses val="autoZero"/>
        <c:auto val="1"/>
        <c:lblAlgn val="ctr"/>
        <c:lblOffset val="100"/>
        <c:noMultiLvlLbl val="0"/>
      </c:catAx>
      <c:valAx>
        <c:axId val="40172160"/>
        <c:scaling>
          <c:orientation val="minMax"/>
          <c:max val="10000"/>
          <c:min val="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170624"/>
        <c:crosses val="autoZero"/>
        <c:crossBetween val="between"/>
        <c:majorUnit val="2000"/>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图</a:t>
            </a:r>
            <a:r>
              <a:rPr lang="en-US" sz="1600" b="1" i="0" u="none" strike="noStrike" baseline="0"/>
              <a:t>2</a:t>
            </a:r>
            <a:r>
              <a:rPr lang="zh-CN" altLang="en-US" sz="1600" b="1" i="0" u="none" strike="noStrike" baseline="0"/>
              <a:t>：收入决算结构图（单位：万元）</a:t>
            </a:r>
            <a:endParaRPr lang="zh-CN" altLang="en-US" sz="1600"/>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5164.49</c:v>
                </c:pt>
                <c:pt idx="1">
                  <c:v>2728.06</c:v>
                </c:pt>
                <c:pt idx="2">
                  <c:v>11.09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2</a:t>
            </a:r>
            <a:r>
              <a:rPr lang="zh-CN" altLang="zh-CN" sz="1800" b="1" i="0" u="none" strike="noStrike" baseline="0">
                <a:effectLst/>
              </a:rPr>
              <a:t>：支出决算结构图</a:t>
            </a:r>
            <a:endParaRPr lang="zh-CN" altLang="en-US"/>
          </a:p>
        </c:rich>
      </c:tx>
      <c:layout/>
      <c:overlay val="0"/>
    </c:title>
    <c:autoTitleDeleted val="0"/>
    <c:plotArea>
      <c:layout/>
      <c:pieChart>
        <c:varyColors val="1"/>
        <c:ser>
          <c:idx val="0"/>
          <c:order val="0"/>
          <c:tx>
            <c:strRef>
              <c:f>Sheet1!$B$1</c:f>
              <c:strCache>
                <c:ptCount val="1"/>
                <c:pt idx="0">
                  <c:v>金额占比</c:v>
                </c:pt>
              </c:strCache>
            </c:strRef>
          </c:tx>
          <c:explosion val="0"/>
          <c:dPt>
            <c:idx val="0"/>
            <c:bubble3D val="0"/>
          </c:dPt>
          <c:dPt>
            <c:idx val="1"/>
            <c:bubble3D val="0"/>
          </c:dPt>
          <c:dPt>
            <c:idx val="2"/>
            <c:bubble3D val="0"/>
          </c:dPt>
          <c:dLbls>
            <c:dLbl>
              <c:idx val="2"/>
              <c:layout>
                <c:manualLayout>
                  <c:x val="0.0746279347797148"/>
                  <c:y val="0.1346465488476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24.3</a:t>
                    </a:r>
                    <a:r>
                      <a:rPr lang="en-US" altLang="zh-CN"/>
                      <a:t>9</a:t>
                    </a:r>
                    <a:r>
                      <a:rPr lang="en-US" altLang="en-US"/>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基本支出</c:v>
                </c:pt>
                <c:pt idx="1">
                  <c:v>项目支出</c:v>
                </c:pt>
                <c:pt idx="2">
                  <c:v>经营支出</c:v>
                </c:pt>
              </c:strCache>
            </c:strRef>
          </c:cat>
          <c:val>
            <c:numRef>
              <c:f>Sheet1!$B$2:$B$4</c:f>
              <c:numCache>
                <c:formatCode>0.00%</c:formatCode>
                <c:ptCount val="3"/>
                <c:pt idx="0">
                  <c:v>0.635026085996375</c:v>
                </c:pt>
                <c:pt idx="1">
                  <c:v>0.1211304238476</c:v>
                </c:pt>
                <c:pt idx="2">
                  <c:v>0.243843490156026</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a:t>
            </a:r>
            <a:r>
              <a:rPr lang="zh-CN" altLang="zh-CN" sz="1800" b="1" i="0" baseline="0">
                <a:effectLst/>
              </a:rPr>
              <a:t>财政拨款收、支决算总计变动情况</a:t>
            </a:r>
            <a:r>
              <a:rPr lang="en-US" altLang="zh-CN" sz="1800" b="1" i="0" baseline="0">
                <a:effectLst/>
              </a:rPr>
              <a:t> </a:t>
            </a:r>
            <a:r>
              <a:rPr lang="zh-CN" altLang="zh-CN" sz="1100" b="1" i="0" baseline="0">
                <a:effectLst/>
              </a:rPr>
              <a:t>（单位：万元）</a:t>
            </a:r>
            <a:endParaRPr lang="zh-CN" altLang="zh-CN" sz="1100">
              <a:effectLst/>
            </a:endParaRPr>
          </a:p>
        </c:rich>
      </c:tx>
      <c:layout/>
      <c:overlay val="0"/>
    </c:title>
    <c:autoTitleDeleted val="0"/>
    <c:plotArea>
      <c:layout/>
      <c:barChart>
        <c:barDir val="col"/>
        <c:grouping val="clustered"/>
        <c:varyColors val="0"/>
        <c:ser>
          <c:idx val="0"/>
          <c:order val="0"/>
          <c:tx>
            <c:strRef>
              <c:f>Sheet1!$B$1</c:f>
              <c:strCache>
                <c:ptCount val="1"/>
                <c:pt idx="0">
                  <c:v>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ser>
        <c:dLbls>
          <c:showLegendKey val="0"/>
          <c:showVal val="1"/>
          <c:showCatName val="0"/>
          <c:showSerName val="0"/>
          <c:showPercent val="0"/>
          <c:showBubbleSize val="0"/>
        </c:dLbls>
        <c:gapWidth val="150"/>
        <c:overlap val="-25"/>
        <c:axId val="163959936"/>
        <c:axId val="163961472"/>
      </c:barChart>
      <c:catAx>
        <c:axId val="16395993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961472"/>
        <c:crosses val="autoZero"/>
        <c:auto val="1"/>
        <c:lblAlgn val="ctr"/>
        <c:lblOffset val="100"/>
        <c:noMultiLvlLbl val="0"/>
      </c:catAx>
      <c:valAx>
        <c:axId val="163961472"/>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9599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5</a:t>
            </a:r>
            <a:r>
              <a:rPr lang="zh-CN" altLang="zh-CN" sz="1800" b="1" i="0" u="none" strike="noStrike" baseline="0">
                <a:effectLst/>
              </a:rPr>
              <a:t>：一般公共预算财政拨款支出决算变动情况</a:t>
            </a:r>
            <a:r>
              <a:rPr lang="zh-CN" altLang="zh-CN" sz="1100" b="1" i="0" u="none" strike="noStrike" baseline="0">
                <a:effectLst/>
              </a:rPr>
              <a:t>（单位：万元）</a:t>
            </a:r>
            <a:endParaRPr lang="en-US" altLang="zh-CN" sz="1100"/>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ser>
        <c:dLbls>
          <c:showLegendKey val="0"/>
          <c:showVal val="1"/>
          <c:showCatName val="0"/>
          <c:showSerName val="0"/>
          <c:showPercent val="0"/>
          <c:showBubbleSize val="0"/>
        </c:dLbls>
        <c:gapWidth val="150"/>
        <c:overlap val="-25"/>
        <c:axId val="175303680"/>
        <c:axId val="175305472"/>
      </c:barChart>
      <c:catAx>
        <c:axId val="1753036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305472"/>
        <c:crosses val="autoZero"/>
        <c:auto val="1"/>
        <c:lblAlgn val="ctr"/>
        <c:lblOffset val="100"/>
        <c:noMultiLvlLbl val="0"/>
      </c:catAx>
      <c:valAx>
        <c:axId val="175305472"/>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3036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教育支出</c:v>
                </c:pt>
                <c:pt idx="1">
                  <c:v>文化旅游体育与传媒</c:v>
                </c:pt>
                <c:pt idx="2">
                  <c:v>社会保障和就业</c:v>
                </c:pt>
                <c:pt idx="3">
                  <c:v>卫生健康支出</c:v>
                </c:pt>
                <c:pt idx="4">
                  <c:v>住房保障支出</c:v>
                </c:pt>
                <c:pt idx="5">
                  <c:v>资源勘探工业信息等支出</c:v>
                </c:pt>
              </c:strCache>
            </c:strRef>
          </c:cat>
          <c:val>
            <c:numRef>
              <c:f>Sheet1!$B$2:$B$7</c:f>
              <c:numCache>
                <c:formatCode>0.00%</c:formatCode>
                <c:ptCount val="6"/>
                <c:pt idx="0">
                  <c:v>0.001</c:v>
                </c:pt>
                <c:pt idx="1">
                  <c:v>0.0812</c:v>
                </c:pt>
                <c:pt idx="2">
                  <c:v>0.2355</c:v>
                </c:pt>
                <c:pt idx="3">
                  <c:v>0.0145</c:v>
                </c:pt>
                <c:pt idx="4">
                  <c:v>0.0652</c:v>
                </c:pt>
                <c:pt idx="5">
                  <c:v>0.6027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70791-9A39-4663-9DAF-0CBDDFD2023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905</Words>
  <Characters>5161</Characters>
  <Lines>43</Lines>
  <Paragraphs>12</Paragraphs>
  <TotalTime>1</TotalTime>
  <ScaleCrop>false</ScaleCrop>
  <LinksUpToDate>false</LinksUpToDate>
  <CharactersWithSpaces>6054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肖帆</cp:lastModifiedBy>
  <cp:lastPrinted>2022-08-06T02:23:00Z</cp:lastPrinted>
  <dcterms:modified xsi:type="dcterms:W3CDTF">2023-09-19T08:24:01Z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747799C78FC84444B3827521FA1152C9_12</vt:lpwstr>
  </property>
</Properties>
</file>